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556" w:rsidRPr="003F46A5" w:rsidRDefault="00FF4556" w:rsidP="00FF4556">
      <w:pPr>
        <w:autoSpaceDE w:val="0"/>
        <w:autoSpaceDN w:val="0"/>
        <w:adjustRightInd w:val="0"/>
        <w:spacing w:after="0" w:line="240" w:lineRule="auto"/>
        <w:jc w:val="right"/>
        <w:rPr>
          <w:rFonts w:ascii="Calibri" w:hAnsi="Calibri" w:cs="Calibri"/>
          <w:b/>
          <w:bCs/>
          <w:color w:val="000000"/>
        </w:rPr>
      </w:pPr>
      <w:r w:rsidRPr="003F46A5">
        <w:rPr>
          <w:rFonts w:ascii="Calibri" w:hAnsi="Calibri" w:cs="Calibri"/>
          <w:b/>
          <w:bCs/>
          <w:color w:val="000000"/>
        </w:rPr>
        <w:t>Informacja prasowa</w:t>
      </w:r>
    </w:p>
    <w:p w:rsidR="00FF4556" w:rsidRPr="003F46A5" w:rsidRDefault="00EA78FA" w:rsidP="00FF4556">
      <w:pPr>
        <w:autoSpaceDE w:val="0"/>
        <w:autoSpaceDN w:val="0"/>
        <w:adjustRightInd w:val="0"/>
        <w:spacing w:after="0" w:line="240" w:lineRule="auto"/>
        <w:jc w:val="right"/>
        <w:rPr>
          <w:rFonts w:ascii="Calibri" w:hAnsi="Calibri" w:cs="Calibri"/>
          <w:bCs/>
          <w:color w:val="000000"/>
        </w:rPr>
      </w:pPr>
      <w:r w:rsidRPr="003F46A5">
        <w:rPr>
          <w:rFonts w:ascii="Calibri" w:hAnsi="Calibri" w:cs="Calibri"/>
          <w:bCs/>
          <w:color w:val="000000"/>
        </w:rPr>
        <w:t>Warszawa,</w:t>
      </w:r>
      <w:r w:rsidR="00935F9F" w:rsidRPr="003F46A5">
        <w:rPr>
          <w:rFonts w:ascii="Calibri" w:hAnsi="Calibri" w:cs="Calibri"/>
          <w:bCs/>
          <w:color w:val="000000"/>
        </w:rPr>
        <w:t xml:space="preserve"> </w:t>
      </w:r>
      <w:r w:rsidR="00D51675" w:rsidRPr="00046B39">
        <w:rPr>
          <w:rFonts w:ascii="Calibri" w:hAnsi="Calibri" w:cs="Calibri"/>
          <w:bCs/>
          <w:color w:val="000000"/>
        </w:rPr>
        <w:t>28</w:t>
      </w:r>
      <w:r w:rsidR="00935F9F" w:rsidRPr="00D51675">
        <w:rPr>
          <w:rFonts w:ascii="Calibri" w:hAnsi="Calibri" w:cs="Calibri"/>
          <w:bCs/>
          <w:color w:val="000000"/>
        </w:rPr>
        <w:t>.</w:t>
      </w:r>
      <w:r w:rsidR="00935F9F" w:rsidRPr="003F46A5">
        <w:rPr>
          <w:rFonts w:ascii="Calibri" w:hAnsi="Calibri" w:cs="Calibri"/>
          <w:bCs/>
          <w:color w:val="000000"/>
        </w:rPr>
        <w:t>06</w:t>
      </w:r>
      <w:r w:rsidR="00FF4556" w:rsidRPr="003F46A5">
        <w:rPr>
          <w:rFonts w:ascii="Calibri" w:hAnsi="Calibri" w:cs="Calibri"/>
          <w:bCs/>
          <w:color w:val="000000"/>
        </w:rPr>
        <w:t xml:space="preserve">.2017 r. </w:t>
      </w:r>
    </w:p>
    <w:p w:rsidR="00EB27B6" w:rsidRPr="003F46A5" w:rsidRDefault="00EB27B6" w:rsidP="00B24907">
      <w:pPr>
        <w:autoSpaceDE w:val="0"/>
        <w:autoSpaceDN w:val="0"/>
        <w:adjustRightInd w:val="0"/>
        <w:spacing w:after="0" w:line="240" w:lineRule="auto"/>
        <w:rPr>
          <w:rFonts w:ascii="Calibri" w:hAnsi="Calibri" w:cs="Calibri"/>
          <w:b/>
          <w:bCs/>
          <w:color w:val="000000"/>
        </w:rPr>
      </w:pPr>
    </w:p>
    <w:p w:rsidR="0091566E" w:rsidRPr="003F46A5" w:rsidRDefault="0091566E" w:rsidP="00FF4556">
      <w:pPr>
        <w:autoSpaceDE w:val="0"/>
        <w:autoSpaceDN w:val="0"/>
        <w:adjustRightInd w:val="0"/>
        <w:spacing w:after="0" w:line="240" w:lineRule="auto"/>
        <w:jc w:val="center"/>
        <w:rPr>
          <w:rFonts w:ascii="Calibri" w:hAnsi="Calibri" w:cs="Calibri"/>
          <w:b/>
          <w:bCs/>
          <w:color w:val="000000"/>
        </w:rPr>
      </w:pPr>
    </w:p>
    <w:p w:rsidR="007805A8" w:rsidRDefault="007805A8" w:rsidP="007805A8">
      <w:pPr>
        <w:autoSpaceDE w:val="0"/>
        <w:autoSpaceDN w:val="0"/>
        <w:adjustRightInd w:val="0"/>
        <w:spacing w:after="0" w:line="240" w:lineRule="auto"/>
        <w:jc w:val="both"/>
        <w:rPr>
          <w:rFonts w:ascii="Calibri" w:hAnsi="Calibri" w:cs="Calibri"/>
          <w:b/>
          <w:bCs/>
          <w:color w:val="000000"/>
          <w:sz w:val="28"/>
        </w:rPr>
      </w:pPr>
      <w:r w:rsidRPr="007805A8">
        <w:rPr>
          <w:rFonts w:ascii="Calibri" w:hAnsi="Calibri" w:cs="Calibri"/>
          <w:b/>
          <w:bCs/>
          <w:color w:val="000000"/>
          <w:sz w:val="28"/>
        </w:rPr>
        <w:t>MATERIAŁ NIE JEST PRZEZNACZONY DO ROZPOWSZECHNIANIA, PUBLIKACJI LUB DYSTRYBUCJI, POŚREDNIO LUB BEZPOŚREDNIO, DO LUB NA TERYTORIACH STANÓW ZJEDNOCZONYCH AMERYKI, AUSTRALII, KANADY, JAPONII LUB KAŻDEGO INNEGO PAŃSTWA, W KTÓRYM BYŁOBY TO NIEZGODNE Z PRAWEM</w:t>
      </w:r>
      <w:r>
        <w:rPr>
          <w:rFonts w:ascii="Calibri" w:hAnsi="Calibri" w:cs="Calibri"/>
          <w:b/>
          <w:bCs/>
          <w:color w:val="000000"/>
          <w:sz w:val="28"/>
        </w:rPr>
        <w:t>.</w:t>
      </w:r>
    </w:p>
    <w:p w:rsidR="007805A8" w:rsidRDefault="007805A8" w:rsidP="00FF4556">
      <w:pPr>
        <w:autoSpaceDE w:val="0"/>
        <w:autoSpaceDN w:val="0"/>
        <w:adjustRightInd w:val="0"/>
        <w:spacing w:after="0" w:line="240" w:lineRule="auto"/>
        <w:jc w:val="center"/>
        <w:rPr>
          <w:rFonts w:ascii="Calibri" w:hAnsi="Calibri" w:cs="Calibri"/>
          <w:b/>
          <w:bCs/>
          <w:color w:val="000000"/>
          <w:sz w:val="28"/>
        </w:rPr>
      </w:pPr>
    </w:p>
    <w:p w:rsidR="00B24907" w:rsidRPr="004C373A" w:rsidRDefault="001A2B64" w:rsidP="00FF4556">
      <w:pPr>
        <w:autoSpaceDE w:val="0"/>
        <w:autoSpaceDN w:val="0"/>
        <w:adjustRightInd w:val="0"/>
        <w:spacing w:after="0" w:line="240" w:lineRule="auto"/>
        <w:jc w:val="center"/>
        <w:rPr>
          <w:rFonts w:ascii="Calibri" w:hAnsi="Calibri" w:cs="Calibri"/>
          <w:color w:val="000000"/>
          <w:sz w:val="28"/>
        </w:rPr>
      </w:pPr>
      <w:r w:rsidRPr="004C373A">
        <w:rPr>
          <w:rFonts w:ascii="Calibri" w:hAnsi="Calibri" w:cs="Calibri"/>
          <w:b/>
          <w:bCs/>
          <w:color w:val="000000"/>
          <w:sz w:val="28"/>
        </w:rPr>
        <w:t>Cognor</w:t>
      </w:r>
      <w:r w:rsidR="00E52BEC">
        <w:rPr>
          <w:rFonts w:ascii="Calibri" w:hAnsi="Calibri" w:cs="Calibri"/>
          <w:b/>
          <w:bCs/>
          <w:color w:val="000000"/>
          <w:sz w:val="28"/>
        </w:rPr>
        <w:t xml:space="preserve"> Holding </w:t>
      </w:r>
      <w:r w:rsidR="00935F9F" w:rsidRPr="004C373A">
        <w:rPr>
          <w:rFonts w:ascii="Calibri" w:hAnsi="Calibri" w:cs="Calibri"/>
          <w:b/>
          <w:bCs/>
          <w:color w:val="000000"/>
          <w:sz w:val="28"/>
        </w:rPr>
        <w:t>złożył prospekt emisyjny</w:t>
      </w:r>
    </w:p>
    <w:p w:rsidR="00B24907" w:rsidRPr="003F46A5" w:rsidRDefault="00046B39" w:rsidP="0030727B">
      <w:pPr>
        <w:tabs>
          <w:tab w:val="left" w:pos="6411"/>
        </w:tabs>
        <w:autoSpaceDE w:val="0"/>
        <w:autoSpaceDN w:val="0"/>
        <w:adjustRightInd w:val="0"/>
        <w:spacing w:after="0" w:line="240" w:lineRule="auto"/>
        <w:rPr>
          <w:rFonts w:ascii="Calibri" w:hAnsi="Calibri" w:cs="Calibri"/>
          <w:color w:val="000000"/>
        </w:rPr>
      </w:pPr>
      <w:r>
        <w:rPr>
          <w:rFonts w:ascii="Calibri" w:hAnsi="Calibri" w:cs="Calibri"/>
          <w:color w:val="000000"/>
        </w:rPr>
        <w:tab/>
      </w:r>
    </w:p>
    <w:p w:rsidR="0091566E" w:rsidRPr="003F46A5" w:rsidRDefault="0091566E" w:rsidP="00A0163F">
      <w:pPr>
        <w:autoSpaceDE w:val="0"/>
        <w:autoSpaceDN w:val="0"/>
        <w:adjustRightInd w:val="0"/>
        <w:spacing w:after="0" w:line="240" w:lineRule="auto"/>
        <w:jc w:val="both"/>
        <w:rPr>
          <w:rFonts w:ascii="Calibri" w:hAnsi="Calibri" w:cs="Calibri"/>
          <w:b/>
          <w:bCs/>
          <w:color w:val="000000"/>
        </w:rPr>
      </w:pPr>
    </w:p>
    <w:p w:rsidR="001A2B64" w:rsidRPr="003F46A5" w:rsidRDefault="00FF4556" w:rsidP="00A0163F">
      <w:pPr>
        <w:autoSpaceDE w:val="0"/>
        <w:autoSpaceDN w:val="0"/>
        <w:adjustRightInd w:val="0"/>
        <w:spacing w:after="0" w:line="240" w:lineRule="auto"/>
        <w:jc w:val="both"/>
        <w:rPr>
          <w:rFonts w:ascii="Calibri" w:hAnsi="Calibri" w:cs="Calibri"/>
          <w:b/>
          <w:bCs/>
          <w:color w:val="000000"/>
        </w:rPr>
      </w:pPr>
      <w:r w:rsidRPr="003F46A5">
        <w:rPr>
          <w:rFonts w:ascii="Calibri" w:hAnsi="Calibri" w:cs="Calibri"/>
          <w:b/>
          <w:bCs/>
          <w:color w:val="000000"/>
        </w:rPr>
        <w:t xml:space="preserve">Cognor </w:t>
      </w:r>
      <w:r w:rsidR="00093A7D">
        <w:rPr>
          <w:rFonts w:ascii="Calibri" w:hAnsi="Calibri" w:cs="Calibri"/>
          <w:b/>
          <w:bCs/>
          <w:color w:val="000000"/>
        </w:rPr>
        <w:t xml:space="preserve">Holding </w:t>
      </w:r>
      <w:r w:rsidR="00935F9F" w:rsidRPr="003F46A5">
        <w:rPr>
          <w:rFonts w:ascii="Calibri" w:hAnsi="Calibri" w:cs="Calibri"/>
          <w:b/>
          <w:bCs/>
          <w:color w:val="000000"/>
        </w:rPr>
        <w:t>złożył do KNF prospekt emisyjny w związku z planowaną ofertą publiczną</w:t>
      </w:r>
      <w:r w:rsidR="00B522C0">
        <w:rPr>
          <w:rFonts w:ascii="Calibri" w:hAnsi="Calibri" w:cs="Calibri"/>
          <w:b/>
          <w:bCs/>
          <w:color w:val="000000"/>
        </w:rPr>
        <w:t xml:space="preserve"> akcji</w:t>
      </w:r>
      <w:r w:rsidR="00935F9F" w:rsidRPr="003F46A5">
        <w:rPr>
          <w:rFonts w:ascii="Calibri" w:hAnsi="Calibri" w:cs="Calibri"/>
          <w:b/>
          <w:bCs/>
          <w:color w:val="000000"/>
        </w:rPr>
        <w:t xml:space="preserve">. Spółka liczy na pozyskanie </w:t>
      </w:r>
      <w:r w:rsidR="00004784">
        <w:rPr>
          <w:rFonts w:ascii="Calibri" w:hAnsi="Calibri" w:cs="Calibri"/>
          <w:b/>
          <w:bCs/>
          <w:color w:val="000000"/>
        </w:rPr>
        <w:t>nie mniej niż</w:t>
      </w:r>
      <w:r w:rsidR="00A3537E">
        <w:rPr>
          <w:rFonts w:ascii="Calibri" w:hAnsi="Calibri" w:cs="Calibri"/>
          <w:b/>
          <w:bCs/>
          <w:color w:val="000000"/>
        </w:rPr>
        <w:t xml:space="preserve"> </w:t>
      </w:r>
      <w:r w:rsidR="00935F9F" w:rsidRPr="003F46A5">
        <w:rPr>
          <w:rFonts w:ascii="Calibri" w:hAnsi="Calibri" w:cs="Calibri"/>
          <w:b/>
          <w:bCs/>
          <w:color w:val="000000"/>
        </w:rPr>
        <w:t xml:space="preserve">101 mln zł </w:t>
      </w:r>
      <w:r w:rsidR="00004784">
        <w:rPr>
          <w:rFonts w:ascii="Calibri" w:hAnsi="Calibri" w:cs="Calibri"/>
          <w:b/>
          <w:bCs/>
          <w:color w:val="000000"/>
        </w:rPr>
        <w:t>brutto</w:t>
      </w:r>
      <w:r w:rsidR="00046B39">
        <w:rPr>
          <w:rFonts w:ascii="Calibri" w:hAnsi="Calibri" w:cs="Calibri"/>
          <w:b/>
          <w:bCs/>
          <w:color w:val="000000"/>
        </w:rPr>
        <w:t xml:space="preserve"> </w:t>
      </w:r>
      <w:r w:rsidR="00935F9F" w:rsidRPr="003F46A5">
        <w:rPr>
          <w:rFonts w:ascii="Calibri" w:hAnsi="Calibri" w:cs="Calibri"/>
          <w:b/>
          <w:bCs/>
          <w:color w:val="000000"/>
        </w:rPr>
        <w:t xml:space="preserve">na refinansowanie </w:t>
      </w:r>
      <w:r w:rsidR="00A3537E">
        <w:rPr>
          <w:rFonts w:ascii="Calibri" w:hAnsi="Calibri" w:cs="Calibri"/>
          <w:b/>
          <w:bCs/>
          <w:color w:val="000000"/>
        </w:rPr>
        <w:t xml:space="preserve">części </w:t>
      </w:r>
      <w:r w:rsidR="00935F9F" w:rsidRPr="003F46A5">
        <w:rPr>
          <w:rFonts w:ascii="Calibri" w:hAnsi="Calibri" w:cs="Calibri"/>
          <w:b/>
          <w:bCs/>
          <w:color w:val="000000"/>
        </w:rPr>
        <w:t>zadłużenia</w:t>
      </w:r>
      <w:r w:rsidR="00801F53">
        <w:rPr>
          <w:rFonts w:ascii="Calibri" w:hAnsi="Calibri" w:cs="Calibri"/>
          <w:b/>
          <w:bCs/>
          <w:color w:val="000000"/>
        </w:rPr>
        <w:t>.</w:t>
      </w:r>
      <w:bookmarkStart w:id="0" w:name="_GoBack"/>
      <w:bookmarkEnd w:id="0"/>
    </w:p>
    <w:p w:rsidR="00FF4556" w:rsidRPr="003F46A5" w:rsidRDefault="00FF4556" w:rsidP="00A0163F">
      <w:pPr>
        <w:autoSpaceDE w:val="0"/>
        <w:autoSpaceDN w:val="0"/>
        <w:adjustRightInd w:val="0"/>
        <w:spacing w:after="0" w:line="240" w:lineRule="auto"/>
        <w:jc w:val="both"/>
        <w:rPr>
          <w:rFonts w:ascii="Calibri" w:hAnsi="Calibri" w:cs="Calibri"/>
          <w:b/>
          <w:bCs/>
          <w:color w:val="000000"/>
        </w:rPr>
      </w:pPr>
    </w:p>
    <w:p w:rsidR="00935F9F" w:rsidRPr="003F46A5" w:rsidRDefault="00004784" w:rsidP="00626188">
      <w:pPr>
        <w:autoSpaceDE w:val="0"/>
        <w:autoSpaceDN w:val="0"/>
        <w:adjustRightInd w:val="0"/>
        <w:spacing w:after="0" w:line="240" w:lineRule="auto"/>
        <w:jc w:val="both"/>
        <w:rPr>
          <w:rFonts w:eastAsia="Batang"/>
        </w:rPr>
      </w:pPr>
      <w:r w:rsidRPr="00004784">
        <w:rPr>
          <w:rFonts w:ascii="Calibri" w:hAnsi="Calibri" w:cs="Calibri"/>
          <w:bCs/>
          <w:color w:val="000000"/>
        </w:rPr>
        <w:t>Cognor Holding</w:t>
      </w:r>
      <w:r>
        <w:rPr>
          <w:rFonts w:ascii="Calibri" w:hAnsi="Calibri" w:cs="Calibri"/>
          <w:bCs/>
          <w:color w:val="000000"/>
        </w:rPr>
        <w:t xml:space="preserve"> („</w:t>
      </w:r>
      <w:r w:rsidRPr="00046B39">
        <w:rPr>
          <w:rFonts w:ascii="Calibri" w:hAnsi="Calibri" w:cs="Calibri"/>
          <w:b/>
          <w:bCs/>
          <w:color w:val="000000"/>
        </w:rPr>
        <w:t>Spółka</w:t>
      </w:r>
      <w:r>
        <w:rPr>
          <w:rFonts w:ascii="Calibri" w:hAnsi="Calibri" w:cs="Calibri"/>
          <w:bCs/>
          <w:color w:val="000000"/>
        </w:rPr>
        <w:t>”)</w:t>
      </w:r>
      <w:r w:rsidRPr="00004784" w:rsidDel="00004784">
        <w:rPr>
          <w:rFonts w:ascii="Calibri" w:hAnsi="Calibri" w:cs="Calibri"/>
          <w:bCs/>
          <w:color w:val="000000"/>
        </w:rPr>
        <w:t xml:space="preserve"> </w:t>
      </w:r>
      <w:r w:rsidR="00935F9F" w:rsidRPr="003F46A5">
        <w:rPr>
          <w:rFonts w:ascii="Calibri" w:hAnsi="Calibri" w:cs="Calibri"/>
          <w:bCs/>
          <w:color w:val="000000"/>
        </w:rPr>
        <w:t xml:space="preserve">ma zamiar wyemitować </w:t>
      </w:r>
      <w:r w:rsidR="00046B39">
        <w:rPr>
          <w:rFonts w:ascii="Calibri" w:hAnsi="Calibri" w:cs="Calibri"/>
          <w:bCs/>
          <w:color w:val="000000"/>
        </w:rPr>
        <w:t xml:space="preserve">na podstawie uchwały nr 2 podjętej na </w:t>
      </w:r>
      <w:r w:rsidR="00AB3C3D">
        <w:rPr>
          <w:rFonts w:ascii="Calibri" w:hAnsi="Calibri" w:cs="Calibri"/>
          <w:bCs/>
          <w:color w:val="000000"/>
        </w:rPr>
        <w:t>N</w:t>
      </w:r>
      <w:r w:rsidR="00046B39">
        <w:rPr>
          <w:rFonts w:ascii="Calibri" w:hAnsi="Calibri" w:cs="Calibri"/>
          <w:bCs/>
          <w:color w:val="000000"/>
        </w:rPr>
        <w:t xml:space="preserve">WZA 25.04.2017 r. </w:t>
      </w:r>
      <w:r w:rsidR="00935F9F" w:rsidRPr="003F46A5">
        <w:rPr>
          <w:rFonts w:ascii="Calibri" w:hAnsi="Calibri" w:cs="Calibri"/>
          <w:bCs/>
          <w:color w:val="000000"/>
        </w:rPr>
        <w:t xml:space="preserve">od 25,1 do 67,3 mln akcji </w:t>
      </w:r>
      <w:r w:rsidR="00B46DC9" w:rsidRPr="003F46A5">
        <w:rPr>
          <w:rFonts w:ascii="Calibri" w:hAnsi="Calibri" w:cs="Calibri"/>
          <w:bCs/>
          <w:color w:val="000000"/>
        </w:rPr>
        <w:t>emisji nr 11</w:t>
      </w:r>
      <w:r w:rsidR="00DE133A" w:rsidRPr="003F46A5">
        <w:rPr>
          <w:rFonts w:ascii="Calibri" w:hAnsi="Calibri" w:cs="Calibri"/>
          <w:bCs/>
          <w:color w:val="000000"/>
        </w:rPr>
        <w:t xml:space="preserve"> o wartości nominalnej 1,5 zł,</w:t>
      </w:r>
      <w:r w:rsidR="00B46DC9" w:rsidRPr="003F46A5">
        <w:rPr>
          <w:rFonts w:ascii="Calibri" w:hAnsi="Calibri" w:cs="Calibri"/>
          <w:bCs/>
          <w:color w:val="000000"/>
        </w:rPr>
        <w:t xml:space="preserve"> </w:t>
      </w:r>
      <w:r w:rsidR="00935F9F" w:rsidRPr="003F46A5">
        <w:rPr>
          <w:rFonts w:ascii="Calibri" w:hAnsi="Calibri" w:cs="Calibri"/>
          <w:bCs/>
          <w:color w:val="000000"/>
        </w:rPr>
        <w:t>z wyłączeniem prawa poboru</w:t>
      </w:r>
      <w:r w:rsidR="00DE133A" w:rsidRPr="003F46A5">
        <w:rPr>
          <w:rFonts w:ascii="Calibri" w:hAnsi="Calibri" w:cs="Calibri"/>
          <w:bCs/>
          <w:color w:val="000000"/>
        </w:rPr>
        <w:t>,</w:t>
      </w:r>
      <w:r w:rsidR="00935F9F" w:rsidRPr="003F46A5">
        <w:rPr>
          <w:rFonts w:ascii="Calibri" w:hAnsi="Calibri" w:cs="Calibri"/>
          <w:bCs/>
          <w:color w:val="000000"/>
        </w:rPr>
        <w:t xml:space="preserve"> w trybie oferty publicznej. </w:t>
      </w:r>
      <w:r w:rsidR="00B46DC9" w:rsidRPr="003F46A5">
        <w:rPr>
          <w:rFonts w:ascii="Calibri" w:hAnsi="Calibri" w:cs="Calibri"/>
          <w:bCs/>
          <w:color w:val="000000"/>
        </w:rPr>
        <w:t xml:space="preserve">Jednocześnie prospekt obejmuje ofertę do </w:t>
      </w:r>
      <w:r w:rsidR="00B46DC9" w:rsidRPr="003F46A5">
        <w:rPr>
          <w:rFonts w:eastAsia="Batang"/>
        </w:rPr>
        <w:t xml:space="preserve">16 mln </w:t>
      </w:r>
      <w:r w:rsidR="00B46DC9" w:rsidRPr="003F46A5">
        <w:rPr>
          <w:rFonts w:ascii="Calibri" w:hAnsi="Calibri" w:cs="Calibri"/>
          <w:bCs/>
          <w:color w:val="000000"/>
        </w:rPr>
        <w:t xml:space="preserve">akcji </w:t>
      </w:r>
      <w:r w:rsidR="00B46DC9" w:rsidRPr="003F46A5">
        <w:rPr>
          <w:rFonts w:eastAsia="Batang"/>
        </w:rPr>
        <w:t>aportowych</w:t>
      </w:r>
      <w:r w:rsidR="00A4085E" w:rsidRPr="003F46A5">
        <w:rPr>
          <w:rFonts w:eastAsia="Batang"/>
        </w:rPr>
        <w:t xml:space="preserve"> emisji nr 12</w:t>
      </w:r>
      <w:r w:rsidR="00993F7F">
        <w:rPr>
          <w:rFonts w:eastAsia="Batang"/>
        </w:rPr>
        <w:t xml:space="preserve"> </w:t>
      </w:r>
      <w:r w:rsidR="00993F7F" w:rsidRPr="00993F7F">
        <w:rPr>
          <w:rFonts w:eastAsia="Batang"/>
        </w:rPr>
        <w:t>w formie subskrypcji prywatnej</w:t>
      </w:r>
      <w:r w:rsidR="005D2A86">
        <w:rPr>
          <w:rFonts w:eastAsia="Batang"/>
        </w:rPr>
        <w:t>, które z</w:t>
      </w:r>
      <w:r w:rsidR="00B46DC9" w:rsidRPr="003F46A5">
        <w:rPr>
          <w:rFonts w:eastAsia="Batang"/>
        </w:rPr>
        <w:t xml:space="preserve">ostaną </w:t>
      </w:r>
      <w:r w:rsidR="003F46A5">
        <w:rPr>
          <w:rFonts w:eastAsia="Batang"/>
        </w:rPr>
        <w:t xml:space="preserve">wyemitowane </w:t>
      </w:r>
      <w:r w:rsidR="00B46DC9" w:rsidRPr="003F46A5">
        <w:rPr>
          <w:rFonts w:eastAsia="Batang"/>
        </w:rPr>
        <w:t xml:space="preserve">w zamian za wkład niepieniężny </w:t>
      </w:r>
      <w:r>
        <w:rPr>
          <w:rFonts w:eastAsia="Batang"/>
        </w:rPr>
        <w:t xml:space="preserve">wnoszony przez </w:t>
      </w:r>
      <w:r w:rsidR="00B46DC9" w:rsidRPr="003F46A5">
        <w:rPr>
          <w:rFonts w:eastAsia="Batang"/>
        </w:rPr>
        <w:t>PS Holdco</w:t>
      </w:r>
      <w:r w:rsidR="00A3537E">
        <w:rPr>
          <w:rFonts w:eastAsia="Batang"/>
        </w:rPr>
        <w:t xml:space="preserve"> - </w:t>
      </w:r>
      <w:r w:rsidR="00A4085E" w:rsidRPr="003F46A5">
        <w:rPr>
          <w:rFonts w:eastAsia="Batang"/>
        </w:rPr>
        <w:t xml:space="preserve">głównego akcjonariusza </w:t>
      </w:r>
      <w:r w:rsidR="005D2A86">
        <w:rPr>
          <w:rFonts w:eastAsia="Batang"/>
        </w:rPr>
        <w:t>Spółki</w:t>
      </w:r>
      <w:r w:rsidR="00A4085E" w:rsidRPr="003F46A5">
        <w:rPr>
          <w:rFonts w:eastAsia="Batang"/>
        </w:rPr>
        <w:t xml:space="preserve"> -</w:t>
      </w:r>
      <w:r w:rsidR="00B46DC9" w:rsidRPr="003F46A5">
        <w:rPr>
          <w:rFonts w:eastAsia="Batang"/>
        </w:rPr>
        <w:t xml:space="preserve"> w postaci 100 udziałów w kapitale zakładowym </w:t>
      </w:r>
      <w:r w:rsidR="00A3537E">
        <w:rPr>
          <w:rFonts w:eastAsia="Batang"/>
        </w:rPr>
        <w:t xml:space="preserve">spółki </w:t>
      </w:r>
      <w:r w:rsidR="00A4085E" w:rsidRPr="003F46A5">
        <w:rPr>
          <w:rFonts w:eastAsia="Batang"/>
        </w:rPr>
        <w:t>Odlewnia Metali Szopienic</w:t>
      </w:r>
      <w:r w:rsidR="00C157BD">
        <w:rPr>
          <w:rFonts w:eastAsia="Batang"/>
        </w:rPr>
        <w:t>e</w:t>
      </w:r>
      <w:r w:rsidR="005D2A86">
        <w:rPr>
          <w:rFonts w:eastAsia="Batang"/>
        </w:rPr>
        <w:t xml:space="preserve"> sp. z o.o</w:t>
      </w:r>
      <w:r w:rsidR="00C157BD">
        <w:rPr>
          <w:rFonts w:eastAsia="Batang"/>
        </w:rPr>
        <w:t>.</w:t>
      </w:r>
      <w:r w:rsidR="00626188">
        <w:rPr>
          <w:rFonts w:eastAsia="Batang"/>
        </w:rPr>
        <w:t xml:space="preserve"> </w:t>
      </w:r>
      <w:r w:rsidR="00626188" w:rsidRPr="00626188">
        <w:rPr>
          <w:rFonts w:eastAsia="Batang"/>
        </w:rPr>
        <w:t>Wartość</w:t>
      </w:r>
      <w:r w:rsidR="00626188">
        <w:rPr>
          <w:rFonts w:eastAsia="Batang"/>
        </w:rPr>
        <w:t xml:space="preserve"> wnoszonego </w:t>
      </w:r>
      <w:r w:rsidR="00A3537E">
        <w:rPr>
          <w:rFonts w:eastAsia="Batang"/>
        </w:rPr>
        <w:t>a</w:t>
      </w:r>
      <w:r w:rsidR="00626188" w:rsidRPr="00626188">
        <w:rPr>
          <w:rFonts w:eastAsia="Batang"/>
        </w:rPr>
        <w:t>portu wynosi</w:t>
      </w:r>
      <w:r w:rsidR="00626188">
        <w:rPr>
          <w:rFonts w:eastAsia="Batang"/>
        </w:rPr>
        <w:t xml:space="preserve"> </w:t>
      </w:r>
      <w:r w:rsidR="00626188" w:rsidRPr="00626188">
        <w:rPr>
          <w:rFonts w:eastAsia="Batang"/>
        </w:rPr>
        <w:t>24</w:t>
      </w:r>
      <w:r w:rsidR="00626188">
        <w:rPr>
          <w:rFonts w:eastAsia="Batang"/>
        </w:rPr>
        <w:t xml:space="preserve"> mln</w:t>
      </w:r>
      <w:r w:rsidR="00626188" w:rsidRPr="00626188">
        <w:rPr>
          <w:rFonts w:eastAsia="Batang"/>
        </w:rPr>
        <w:t xml:space="preserve"> zł, co oznacza ponad 20% dyskonto </w:t>
      </w:r>
      <w:r w:rsidR="00626188">
        <w:rPr>
          <w:rFonts w:eastAsia="Batang"/>
        </w:rPr>
        <w:t xml:space="preserve">do </w:t>
      </w:r>
      <w:r w:rsidR="00626188" w:rsidRPr="00626188">
        <w:rPr>
          <w:rFonts w:eastAsia="Batang"/>
        </w:rPr>
        <w:t xml:space="preserve">wartości godziwej </w:t>
      </w:r>
      <w:r w:rsidR="00A3537E">
        <w:rPr>
          <w:rFonts w:eastAsia="Batang"/>
        </w:rPr>
        <w:t>a</w:t>
      </w:r>
      <w:r w:rsidR="00626188" w:rsidRPr="00626188">
        <w:rPr>
          <w:rFonts w:eastAsia="Batang"/>
        </w:rPr>
        <w:t>portu okreś</w:t>
      </w:r>
      <w:r w:rsidR="00626188">
        <w:rPr>
          <w:rFonts w:eastAsia="Batang"/>
        </w:rPr>
        <w:t xml:space="preserve">lonej </w:t>
      </w:r>
      <w:r w:rsidR="00626188" w:rsidRPr="00626188">
        <w:rPr>
          <w:rFonts w:eastAsia="Batang"/>
        </w:rPr>
        <w:t>zgodnie z opinią</w:t>
      </w:r>
      <w:r w:rsidR="00626188">
        <w:rPr>
          <w:rFonts w:eastAsia="Batang"/>
        </w:rPr>
        <w:t xml:space="preserve"> </w:t>
      </w:r>
      <w:r w:rsidR="00626188" w:rsidRPr="00626188">
        <w:rPr>
          <w:rFonts w:eastAsia="Batang"/>
        </w:rPr>
        <w:t>biegł</w:t>
      </w:r>
      <w:r w:rsidR="00626188">
        <w:rPr>
          <w:rFonts w:eastAsia="Batang"/>
        </w:rPr>
        <w:t>ego r</w:t>
      </w:r>
      <w:r w:rsidR="00626188" w:rsidRPr="00626188">
        <w:rPr>
          <w:rFonts w:eastAsia="Batang"/>
        </w:rPr>
        <w:t>ewidenta</w:t>
      </w:r>
      <w:r w:rsidR="00093A7D">
        <w:rPr>
          <w:rFonts w:eastAsia="Batang"/>
        </w:rPr>
        <w:t>.</w:t>
      </w:r>
      <w:r w:rsidR="00626188">
        <w:rPr>
          <w:rFonts w:eastAsia="Batang"/>
        </w:rPr>
        <w:t xml:space="preserve"> </w:t>
      </w:r>
      <w:r w:rsidR="00093A7D">
        <w:rPr>
          <w:rFonts w:eastAsia="Batang"/>
        </w:rPr>
        <w:t>C</w:t>
      </w:r>
      <w:r w:rsidR="00A4085E" w:rsidRPr="003F46A5">
        <w:rPr>
          <w:rFonts w:eastAsia="Batang"/>
        </w:rPr>
        <w:t>ena emisyjna akcji aportowych ma być równa cenie akcji emisji nr 11.</w:t>
      </w:r>
    </w:p>
    <w:p w:rsidR="00A4085E" w:rsidRPr="003F46A5" w:rsidRDefault="00A4085E" w:rsidP="001A2B64">
      <w:pPr>
        <w:autoSpaceDE w:val="0"/>
        <w:autoSpaceDN w:val="0"/>
        <w:adjustRightInd w:val="0"/>
        <w:spacing w:after="0" w:line="240" w:lineRule="auto"/>
        <w:jc w:val="both"/>
        <w:rPr>
          <w:rFonts w:eastAsia="Batang"/>
        </w:rPr>
      </w:pPr>
    </w:p>
    <w:p w:rsidR="001732E6" w:rsidRPr="003F46A5" w:rsidRDefault="00A4085E" w:rsidP="001A2B64">
      <w:pPr>
        <w:autoSpaceDE w:val="0"/>
        <w:autoSpaceDN w:val="0"/>
        <w:adjustRightInd w:val="0"/>
        <w:spacing w:after="0" w:line="240" w:lineRule="auto"/>
        <w:jc w:val="both"/>
        <w:rPr>
          <w:rFonts w:ascii="Calibri" w:hAnsi="Calibri" w:cs="Calibri"/>
          <w:bCs/>
          <w:color w:val="000000"/>
        </w:rPr>
      </w:pPr>
      <w:r w:rsidRPr="003F46A5">
        <w:rPr>
          <w:rFonts w:eastAsia="Batang"/>
        </w:rPr>
        <w:t xml:space="preserve">- </w:t>
      </w:r>
      <w:r w:rsidRPr="003F46A5">
        <w:rPr>
          <w:rFonts w:eastAsia="Batang"/>
          <w:i/>
        </w:rPr>
        <w:t>Rozpoczynamy formalnie kolejny etap, strategicznego dla Grupy, procesu zmierzającego do gruntowne</w:t>
      </w:r>
      <w:r w:rsidR="0077400F">
        <w:rPr>
          <w:rFonts w:eastAsia="Batang"/>
          <w:i/>
        </w:rPr>
        <w:t>go</w:t>
      </w:r>
      <w:r w:rsidRPr="003F46A5">
        <w:rPr>
          <w:rFonts w:eastAsia="Batang"/>
          <w:i/>
        </w:rPr>
        <w:t xml:space="preserve"> re</w:t>
      </w:r>
      <w:r w:rsidR="0077400F">
        <w:rPr>
          <w:rFonts w:eastAsia="Batang"/>
          <w:i/>
        </w:rPr>
        <w:t xml:space="preserve">finansowania </w:t>
      </w:r>
      <w:r w:rsidRPr="003F46A5">
        <w:rPr>
          <w:rFonts w:eastAsia="Batang"/>
          <w:i/>
        </w:rPr>
        <w:t xml:space="preserve">naszego zadłużenia. Chcemy pozyskać </w:t>
      </w:r>
      <w:r w:rsidR="00544A36">
        <w:rPr>
          <w:rFonts w:eastAsia="Batang"/>
          <w:i/>
        </w:rPr>
        <w:t xml:space="preserve">od inwestorów </w:t>
      </w:r>
      <w:r w:rsidR="00E166A3">
        <w:rPr>
          <w:rFonts w:eastAsia="Batang"/>
          <w:i/>
        </w:rPr>
        <w:t xml:space="preserve">nie mniej niż </w:t>
      </w:r>
      <w:r w:rsidRPr="003F46A5">
        <w:rPr>
          <w:rFonts w:eastAsia="Batang"/>
          <w:i/>
        </w:rPr>
        <w:t>101 mln zł</w:t>
      </w:r>
      <w:r w:rsidR="00E166A3">
        <w:rPr>
          <w:rFonts w:eastAsia="Batang"/>
          <w:i/>
        </w:rPr>
        <w:t xml:space="preserve"> brutto</w:t>
      </w:r>
      <w:r w:rsidRPr="003F46A5">
        <w:rPr>
          <w:rFonts w:eastAsia="Batang"/>
          <w:i/>
        </w:rPr>
        <w:t xml:space="preserve">, które zostaną przeznaczone na spłatę części </w:t>
      </w:r>
      <w:r w:rsidRPr="003F46A5">
        <w:rPr>
          <w:rFonts w:ascii="Calibri" w:hAnsi="Calibri" w:cs="Calibri"/>
          <w:bCs/>
          <w:i/>
          <w:color w:val="000000"/>
        </w:rPr>
        <w:t>obligacji zabezpieczonych</w:t>
      </w:r>
      <w:r w:rsidR="0077400F">
        <w:rPr>
          <w:rFonts w:ascii="Calibri" w:hAnsi="Calibri" w:cs="Calibri"/>
          <w:bCs/>
          <w:i/>
          <w:color w:val="000000"/>
        </w:rPr>
        <w:t>,</w:t>
      </w:r>
      <w:r w:rsidRPr="003F46A5">
        <w:rPr>
          <w:rFonts w:ascii="Calibri" w:hAnsi="Calibri" w:cs="Calibri"/>
          <w:bCs/>
          <w:i/>
          <w:color w:val="000000"/>
        </w:rPr>
        <w:t xml:space="preserve"> wyemitowanych na rynkach zagranicznych</w:t>
      </w:r>
      <w:r w:rsidR="0077400F">
        <w:rPr>
          <w:rFonts w:ascii="Calibri" w:hAnsi="Calibri" w:cs="Calibri"/>
          <w:bCs/>
          <w:i/>
          <w:color w:val="000000"/>
        </w:rPr>
        <w:t>,</w:t>
      </w:r>
      <w:r w:rsidRPr="003F46A5">
        <w:rPr>
          <w:rFonts w:ascii="Calibri" w:hAnsi="Calibri" w:cs="Calibri"/>
          <w:bCs/>
          <w:i/>
          <w:color w:val="000000"/>
        </w:rPr>
        <w:t xml:space="preserve"> w kwocie ok. 80,9 mln EUR </w:t>
      </w:r>
      <w:r w:rsidRPr="003F46A5">
        <w:rPr>
          <w:rFonts w:ascii="Calibri" w:hAnsi="Calibri" w:cs="Calibri"/>
          <w:bCs/>
          <w:color w:val="000000"/>
        </w:rPr>
        <w:t>– komentuje Krzysztof Zoła</w:t>
      </w:r>
      <w:r w:rsidR="001732E6" w:rsidRPr="003F46A5">
        <w:rPr>
          <w:rFonts w:ascii="Calibri" w:hAnsi="Calibri" w:cs="Calibri"/>
          <w:bCs/>
          <w:color w:val="000000"/>
        </w:rPr>
        <w:t xml:space="preserve">, dyrektor finansowy i członek zarządu, Cognor Holding. </w:t>
      </w:r>
    </w:p>
    <w:p w:rsidR="001732E6" w:rsidRPr="003F46A5" w:rsidRDefault="001732E6" w:rsidP="001A2B64">
      <w:pPr>
        <w:autoSpaceDE w:val="0"/>
        <w:autoSpaceDN w:val="0"/>
        <w:adjustRightInd w:val="0"/>
        <w:spacing w:after="0" w:line="240" w:lineRule="auto"/>
        <w:jc w:val="both"/>
        <w:rPr>
          <w:rFonts w:ascii="Calibri" w:hAnsi="Calibri" w:cs="Calibri"/>
          <w:bCs/>
          <w:color w:val="000000"/>
        </w:rPr>
      </w:pPr>
    </w:p>
    <w:p w:rsidR="001732E6" w:rsidRPr="003F46A5" w:rsidRDefault="00DE133A" w:rsidP="00510ED4">
      <w:pPr>
        <w:autoSpaceDE w:val="0"/>
        <w:autoSpaceDN w:val="0"/>
        <w:adjustRightInd w:val="0"/>
        <w:spacing w:after="0" w:line="240" w:lineRule="auto"/>
        <w:jc w:val="both"/>
        <w:rPr>
          <w:rFonts w:ascii="Calibri" w:hAnsi="Calibri" w:cs="Calibri"/>
          <w:bCs/>
          <w:color w:val="000000"/>
        </w:rPr>
      </w:pPr>
      <w:r w:rsidRPr="003F46A5">
        <w:rPr>
          <w:rFonts w:ascii="Calibri" w:hAnsi="Calibri" w:cs="Calibri"/>
          <w:bCs/>
          <w:color w:val="000000"/>
        </w:rPr>
        <w:t>Przypomnijmy</w:t>
      </w:r>
      <w:r w:rsidR="001732E6" w:rsidRPr="003F46A5">
        <w:rPr>
          <w:rFonts w:ascii="Calibri" w:hAnsi="Calibri" w:cs="Calibri"/>
          <w:bCs/>
          <w:color w:val="000000"/>
        </w:rPr>
        <w:t>, że</w:t>
      </w:r>
      <w:r w:rsidR="00A4085E" w:rsidRPr="003F46A5">
        <w:rPr>
          <w:rFonts w:ascii="Calibri" w:hAnsi="Calibri" w:cs="Calibri"/>
          <w:bCs/>
          <w:color w:val="000000"/>
        </w:rPr>
        <w:t xml:space="preserve"> </w:t>
      </w:r>
      <w:r w:rsidR="001732E6" w:rsidRPr="003F46A5">
        <w:rPr>
          <w:rFonts w:ascii="Calibri" w:hAnsi="Calibri" w:cs="Calibri"/>
          <w:bCs/>
          <w:color w:val="000000"/>
        </w:rPr>
        <w:t>w maju</w:t>
      </w:r>
      <w:r w:rsidRPr="003F46A5">
        <w:rPr>
          <w:rFonts w:ascii="Calibri" w:hAnsi="Calibri" w:cs="Calibri"/>
          <w:bCs/>
          <w:color w:val="000000"/>
        </w:rPr>
        <w:t xml:space="preserve"> br.</w:t>
      </w:r>
      <w:r w:rsidR="001732E6" w:rsidRPr="003F46A5">
        <w:rPr>
          <w:rFonts w:ascii="Calibri" w:hAnsi="Calibri" w:cs="Calibri"/>
          <w:bCs/>
          <w:color w:val="000000"/>
        </w:rPr>
        <w:t xml:space="preserve"> </w:t>
      </w:r>
      <w:r w:rsidR="00C925C4">
        <w:rPr>
          <w:rFonts w:ascii="Calibri" w:hAnsi="Calibri" w:cs="Calibri"/>
          <w:bCs/>
          <w:color w:val="000000"/>
        </w:rPr>
        <w:t>S</w:t>
      </w:r>
      <w:r w:rsidR="001732E6" w:rsidRPr="003F46A5">
        <w:rPr>
          <w:rFonts w:ascii="Calibri" w:hAnsi="Calibri" w:cs="Calibri"/>
          <w:bCs/>
          <w:color w:val="000000"/>
        </w:rPr>
        <w:t xml:space="preserve">półka </w:t>
      </w:r>
      <w:r w:rsidR="00A50E2D">
        <w:rPr>
          <w:rFonts w:ascii="Calibri" w:hAnsi="Calibri" w:cs="Calibri"/>
          <w:bCs/>
          <w:color w:val="000000"/>
        </w:rPr>
        <w:t xml:space="preserve">otrzymała od banków pismo </w:t>
      </w:r>
      <w:r w:rsidR="00510ED4">
        <w:rPr>
          <w:rFonts w:ascii="Calibri" w:hAnsi="Calibri" w:cs="Calibri"/>
          <w:bCs/>
          <w:color w:val="000000"/>
        </w:rPr>
        <w:t>obejmujące zobowiązanie do udzielenia</w:t>
      </w:r>
      <w:r w:rsidR="00A50E2D" w:rsidRPr="003F46A5">
        <w:rPr>
          <w:rFonts w:ascii="Calibri" w:hAnsi="Calibri" w:cs="Calibri"/>
          <w:bCs/>
          <w:color w:val="000000"/>
        </w:rPr>
        <w:t xml:space="preserve"> </w:t>
      </w:r>
      <w:r w:rsidR="001732E6" w:rsidRPr="003F46A5">
        <w:rPr>
          <w:rFonts w:ascii="Calibri" w:hAnsi="Calibri" w:cs="Calibri"/>
          <w:bCs/>
          <w:color w:val="000000"/>
        </w:rPr>
        <w:t>finansowani</w:t>
      </w:r>
      <w:r w:rsidR="00510ED4">
        <w:rPr>
          <w:rFonts w:ascii="Calibri" w:hAnsi="Calibri" w:cs="Calibri"/>
          <w:bCs/>
          <w:color w:val="000000"/>
        </w:rPr>
        <w:t>a</w:t>
      </w:r>
      <w:r w:rsidR="001732E6" w:rsidRPr="003F46A5">
        <w:rPr>
          <w:rFonts w:ascii="Calibri" w:hAnsi="Calibri" w:cs="Calibri"/>
          <w:bCs/>
          <w:color w:val="000000"/>
        </w:rPr>
        <w:t xml:space="preserve"> bankowe</w:t>
      </w:r>
      <w:r w:rsidR="00510ED4">
        <w:rPr>
          <w:rFonts w:ascii="Calibri" w:hAnsi="Calibri" w:cs="Calibri"/>
          <w:bCs/>
          <w:color w:val="000000"/>
        </w:rPr>
        <w:t>go</w:t>
      </w:r>
      <w:r w:rsidR="001732E6" w:rsidRPr="003F46A5">
        <w:rPr>
          <w:rFonts w:ascii="Calibri" w:hAnsi="Calibri" w:cs="Calibri"/>
          <w:bCs/>
          <w:color w:val="000000"/>
        </w:rPr>
        <w:t xml:space="preserve"> na ten sam cel w wysokości 50 mln EUR. Oprocentowanie kredytu oparte jest na stawce WIBOR lub EURIBOR plus marża na poziomie rynkowym dla tego typu transakcji. Dla porównania</w:t>
      </w:r>
      <w:r w:rsidR="007F3A9C">
        <w:rPr>
          <w:rFonts w:ascii="Calibri" w:hAnsi="Calibri" w:cs="Calibri"/>
          <w:bCs/>
          <w:color w:val="000000"/>
        </w:rPr>
        <w:t>,</w:t>
      </w:r>
      <w:r w:rsidR="001732E6" w:rsidRPr="003F46A5">
        <w:rPr>
          <w:rFonts w:ascii="Calibri" w:hAnsi="Calibri" w:cs="Calibri"/>
          <w:bCs/>
          <w:color w:val="000000"/>
        </w:rPr>
        <w:t xml:space="preserve"> obecne oprocentowanie obligacji, które mają </w:t>
      </w:r>
      <w:r w:rsidR="007B27EB">
        <w:rPr>
          <w:rFonts w:ascii="Calibri" w:hAnsi="Calibri" w:cs="Calibri"/>
          <w:bCs/>
          <w:color w:val="000000"/>
        </w:rPr>
        <w:t>zostać</w:t>
      </w:r>
      <w:r w:rsidR="007B27EB" w:rsidRPr="003F46A5">
        <w:rPr>
          <w:rFonts w:ascii="Calibri" w:hAnsi="Calibri" w:cs="Calibri"/>
          <w:bCs/>
          <w:color w:val="000000"/>
        </w:rPr>
        <w:t xml:space="preserve"> spłac</w:t>
      </w:r>
      <w:r w:rsidR="007B27EB">
        <w:rPr>
          <w:rFonts w:ascii="Calibri" w:hAnsi="Calibri" w:cs="Calibri"/>
          <w:bCs/>
          <w:color w:val="000000"/>
        </w:rPr>
        <w:t>one</w:t>
      </w:r>
      <w:r w:rsidR="007B27EB" w:rsidRPr="003F46A5">
        <w:rPr>
          <w:rFonts w:ascii="Calibri" w:hAnsi="Calibri" w:cs="Calibri"/>
          <w:bCs/>
          <w:color w:val="000000"/>
        </w:rPr>
        <w:t xml:space="preserve"> </w:t>
      </w:r>
      <w:r w:rsidR="001732E6" w:rsidRPr="003F46A5">
        <w:rPr>
          <w:rFonts w:ascii="Calibri" w:hAnsi="Calibri" w:cs="Calibri"/>
          <w:bCs/>
          <w:color w:val="000000"/>
        </w:rPr>
        <w:t xml:space="preserve">z finansowania bankowego oraz </w:t>
      </w:r>
      <w:r w:rsidR="007F3A9C">
        <w:rPr>
          <w:rFonts w:ascii="Calibri" w:hAnsi="Calibri" w:cs="Calibri"/>
          <w:bCs/>
          <w:color w:val="000000"/>
        </w:rPr>
        <w:t xml:space="preserve">z </w:t>
      </w:r>
      <w:r w:rsidR="001732E6" w:rsidRPr="003F46A5">
        <w:rPr>
          <w:rFonts w:ascii="Calibri" w:hAnsi="Calibri" w:cs="Calibri"/>
          <w:bCs/>
          <w:color w:val="000000"/>
        </w:rPr>
        <w:t>emisji akcji, wynosi 12,5% w skali roku.</w:t>
      </w:r>
      <w:r w:rsidR="00510ED4">
        <w:rPr>
          <w:rFonts w:ascii="Calibri" w:hAnsi="Calibri" w:cs="Calibri"/>
          <w:bCs/>
          <w:color w:val="000000"/>
        </w:rPr>
        <w:t xml:space="preserve"> Udzielenie </w:t>
      </w:r>
      <w:r w:rsidR="00510ED4" w:rsidRPr="00510ED4">
        <w:rPr>
          <w:rFonts w:ascii="Calibri" w:hAnsi="Calibri" w:cs="Calibri"/>
          <w:bCs/>
          <w:color w:val="000000"/>
        </w:rPr>
        <w:t>finansowania uzależnione jest od</w:t>
      </w:r>
      <w:r w:rsidR="00510ED4">
        <w:rPr>
          <w:rFonts w:ascii="Calibri" w:hAnsi="Calibri" w:cs="Calibri"/>
          <w:bCs/>
          <w:color w:val="000000"/>
        </w:rPr>
        <w:t xml:space="preserve"> </w:t>
      </w:r>
      <w:r w:rsidR="00510ED4" w:rsidRPr="00510ED4">
        <w:rPr>
          <w:rFonts w:ascii="Calibri" w:hAnsi="Calibri" w:cs="Calibri"/>
          <w:bCs/>
          <w:color w:val="000000"/>
        </w:rPr>
        <w:t xml:space="preserve">spełnienia </w:t>
      </w:r>
      <w:r w:rsidR="001F3C15">
        <w:rPr>
          <w:rFonts w:ascii="Calibri" w:hAnsi="Calibri" w:cs="Calibri"/>
          <w:bCs/>
          <w:color w:val="000000"/>
        </w:rPr>
        <w:t xml:space="preserve">określonych </w:t>
      </w:r>
      <w:r w:rsidR="00510ED4" w:rsidRPr="00510ED4">
        <w:rPr>
          <w:rFonts w:ascii="Calibri" w:hAnsi="Calibri" w:cs="Calibri"/>
          <w:bCs/>
          <w:color w:val="000000"/>
        </w:rPr>
        <w:t>warunków</w:t>
      </w:r>
      <w:r w:rsidR="001F3C15">
        <w:rPr>
          <w:rFonts w:ascii="Calibri" w:hAnsi="Calibri" w:cs="Calibri"/>
          <w:bCs/>
          <w:color w:val="000000"/>
        </w:rPr>
        <w:t xml:space="preserve">, w tym </w:t>
      </w:r>
      <w:r w:rsidR="00510ED4" w:rsidRPr="00510ED4">
        <w:rPr>
          <w:rFonts w:ascii="Calibri" w:hAnsi="Calibri" w:cs="Calibri"/>
          <w:bCs/>
          <w:color w:val="000000"/>
        </w:rPr>
        <w:t>wynegocjowaniu i podpisaniu dokumentacji</w:t>
      </w:r>
      <w:r w:rsidR="00510ED4">
        <w:rPr>
          <w:rFonts w:ascii="Calibri" w:hAnsi="Calibri" w:cs="Calibri"/>
          <w:bCs/>
          <w:color w:val="000000"/>
        </w:rPr>
        <w:t xml:space="preserve"> </w:t>
      </w:r>
      <w:r w:rsidR="00510ED4" w:rsidRPr="00510ED4">
        <w:rPr>
          <w:rFonts w:ascii="Calibri" w:hAnsi="Calibri" w:cs="Calibri"/>
          <w:bCs/>
          <w:color w:val="000000"/>
        </w:rPr>
        <w:t>finansowej.</w:t>
      </w:r>
    </w:p>
    <w:p w:rsidR="00935F9F" w:rsidRPr="003F46A5" w:rsidRDefault="00935F9F" w:rsidP="001A2B64">
      <w:pPr>
        <w:autoSpaceDE w:val="0"/>
        <w:autoSpaceDN w:val="0"/>
        <w:adjustRightInd w:val="0"/>
        <w:spacing w:after="0" w:line="240" w:lineRule="auto"/>
        <w:jc w:val="both"/>
        <w:rPr>
          <w:rFonts w:ascii="Calibri" w:hAnsi="Calibri" w:cs="Calibri"/>
          <w:bCs/>
          <w:color w:val="000000"/>
        </w:rPr>
      </w:pPr>
    </w:p>
    <w:p w:rsidR="001732E6" w:rsidRPr="003F46A5" w:rsidRDefault="001732E6" w:rsidP="001A2B64">
      <w:pPr>
        <w:autoSpaceDE w:val="0"/>
        <w:autoSpaceDN w:val="0"/>
        <w:adjustRightInd w:val="0"/>
        <w:spacing w:after="0" w:line="240" w:lineRule="auto"/>
        <w:jc w:val="both"/>
        <w:rPr>
          <w:rFonts w:ascii="Calibri" w:hAnsi="Calibri" w:cs="Calibri"/>
          <w:bCs/>
          <w:color w:val="000000"/>
        </w:rPr>
      </w:pPr>
      <w:r w:rsidRPr="003F46A5">
        <w:rPr>
          <w:rFonts w:ascii="Calibri" w:hAnsi="Calibri" w:cs="Calibri"/>
          <w:bCs/>
          <w:color w:val="000000"/>
        </w:rPr>
        <w:t xml:space="preserve">- </w:t>
      </w:r>
      <w:r w:rsidR="00F376E9">
        <w:rPr>
          <w:rFonts w:ascii="Calibri" w:hAnsi="Calibri" w:cs="Calibri"/>
          <w:bCs/>
          <w:i/>
          <w:color w:val="000000"/>
        </w:rPr>
        <w:t>Zamiana</w:t>
      </w:r>
      <w:r w:rsidR="00F376E9" w:rsidRPr="003F46A5">
        <w:rPr>
          <w:rFonts w:ascii="Calibri" w:hAnsi="Calibri" w:cs="Calibri"/>
          <w:bCs/>
          <w:i/>
          <w:color w:val="000000"/>
        </w:rPr>
        <w:t xml:space="preserve"> </w:t>
      </w:r>
      <w:r w:rsidRPr="003F46A5">
        <w:rPr>
          <w:rFonts w:ascii="Calibri" w:hAnsi="Calibri" w:cs="Calibri"/>
          <w:bCs/>
          <w:i/>
          <w:color w:val="000000"/>
        </w:rPr>
        <w:t xml:space="preserve">długu na akcje oraz kredyty obsługiwane na warunkach rynkowych pozwolą nam na osiągnięcie znacznych oszczędności. Szacujemy, że dzięki nowej strukturze finansowania </w:t>
      </w:r>
      <w:r w:rsidR="00173DEC">
        <w:rPr>
          <w:rFonts w:ascii="Calibri" w:hAnsi="Calibri" w:cs="Calibri"/>
          <w:bCs/>
          <w:i/>
          <w:color w:val="000000"/>
        </w:rPr>
        <w:t xml:space="preserve">nasze koszty finansowe spadną </w:t>
      </w:r>
      <w:r w:rsidRPr="003F46A5">
        <w:rPr>
          <w:rFonts w:ascii="Calibri" w:hAnsi="Calibri" w:cs="Calibri"/>
          <w:bCs/>
          <w:i/>
          <w:color w:val="000000"/>
        </w:rPr>
        <w:t xml:space="preserve">przynajmniej </w:t>
      </w:r>
      <w:r w:rsidR="00173DEC">
        <w:rPr>
          <w:rFonts w:ascii="Calibri" w:hAnsi="Calibri" w:cs="Calibri"/>
          <w:bCs/>
          <w:i/>
          <w:color w:val="000000"/>
        </w:rPr>
        <w:t xml:space="preserve">o </w:t>
      </w:r>
      <w:r w:rsidRPr="003F46A5">
        <w:rPr>
          <w:rFonts w:ascii="Calibri" w:hAnsi="Calibri" w:cs="Calibri"/>
          <w:bCs/>
          <w:i/>
          <w:color w:val="000000"/>
        </w:rPr>
        <w:t xml:space="preserve">25 mln zł rocznie, począwszy już do 2018 roku </w:t>
      </w:r>
      <w:r w:rsidRPr="003F46A5">
        <w:rPr>
          <w:rFonts w:ascii="Calibri" w:hAnsi="Calibri" w:cs="Calibri"/>
          <w:bCs/>
          <w:color w:val="000000"/>
        </w:rPr>
        <w:t>– podkreśla Krzysztof Zoła.</w:t>
      </w:r>
    </w:p>
    <w:p w:rsidR="00FE24C6" w:rsidRPr="003F46A5" w:rsidRDefault="00FE24C6" w:rsidP="001A2B64">
      <w:pPr>
        <w:autoSpaceDE w:val="0"/>
        <w:autoSpaceDN w:val="0"/>
        <w:adjustRightInd w:val="0"/>
        <w:spacing w:after="0" w:line="240" w:lineRule="auto"/>
        <w:jc w:val="both"/>
        <w:rPr>
          <w:rFonts w:ascii="Calibri" w:hAnsi="Calibri" w:cs="Calibri"/>
          <w:bCs/>
          <w:color w:val="000000"/>
        </w:rPr>
      </w:pPr>
    </w:p>
    <w:p w:rsidR="00DE133A" w:rsidRPr="003F46A5" w:rsidRDefault="00DE133A" w:rsidP="001A2B64">
      <w:pPr>
        <w:autoSpaceDE w:val="0"/>
        <w:autoSpaceDN w:val="0"/>
        <w:adjustRightInd w:val="0"/>
        <w:spacing w:after="0" w:line="240" w:lineRule="auto"/>
        <w:jc w:val="both"/>
        <w:rPr>
          <w:rFonts w:ascii="Calibri" w:hAnsi="Calibri" w:cs="Calibri"/>
          <w:bCs/>
          <w:color w:val="000000"/>
        </w:rPr>
      </w:pPr>
      <w:r w:rsidRPr="003F46A5">
        <w:rPr>
          <w:rFonts w:ascii="Calibri" w:hAnsi="Calibri" w:cs="Calibri"/>
          <w:bCs/>
          <w:color w:val="000000"/>
        </w:rPr>
        <w:t>Zatwierdzenie prospektu emisyjnego spodziewane jest po wakacjach. Bezpośrednio</w:t>
      </w:r>
      <w:r w:rsidR="00B6309A">
        <w:rPr>
          <w:rFonts w:ascii="Calibri" w:hAnsi="Calibri" w:cs="Calibri"/>
          <w:bCs/>
          <w:color w:val="000000"/>
        </w:rPr>
        <w:t>,</w:t>
      </w:r>
      <w:r w:rsidRPr="003F46A5">
        <w:rPr>
          <w:rFonts w:ascii="Calibri" w:hAnsi="Calibri" w:cs="Calibri"/>
          <w:bCs/>
          <w:color w:val="000000"/>
        </w:rPr>
        <w:t xml:space="preserve"> po </w:t>
      </w:r>
      <w:r w:rsidR="00B6309A">
        <w:rPr>
          <w:rFonts w:ascii="Calibri" w:hAnsi="Calibri" w:cs="Calibri"/>
          <w:bCs/>
          <w:color w:val="000000"/>
        </w:rPr>
        <w:t>zatwierdzeniu</w:t>
      </w:r>
      <w:r w:rsidR="00B6309A" w:rsidRPr="003F46A5">
        <w:rPr>
          <w:rFonts w:ascii="Calibri" w:hAnsi="Calibri" w:cs="Calibri"/>
          <w:bCs/>
          <w:color w:val="000000"/>
        </w:rPr>
        <w:t xml:space="preserve"> </w:t>
      </w:r>
      <w:r w:rsidR="003F46A5" w:rsidRPr="003F46A5">
        <w:rPr>
          <w:rFonts w:ascii="Calibri" w:hAnsi="Calibri" w:cs="Calibri"/>
          <w:bCs/>
          <w:color w:val="000000"/>
        </w:rPr>
        <w:t>dokumentu</w:t>
      </w:r>
      <w:r w:rsidRPr="003F46A5">
        <w:rPr>
          <w:rFonts w:ascii="Calibri" w:hAnsi="Calibri" w:cs="Calibri"/>
          <w:bCs/>
          <w:color w:val="000000"/>
        </w:rPr>
        <w:t xml:space="preserve"> </w:t>
      </w:r>
      <w:r w:rsidR="00B6309A">
        <w:rPr>
          <w:rFonts w:ascii="Calibri" w:hAnsi="Calibri" w:cs="Calibri"/>
          <w:bCs/>
          <w:color w:val="000000"/>
        </w:rPr>
        <w:t>w KNF</w:t>
      </w:r>
      <w:r w:rsidR="0035725D">
        <w:rPr>
          <w:rFonts w:ascii="Calibri" w:hAnsi="Calibri" w:cs="Calibri"/>
          <w:bCs/>
          <w:color w:val="000000"/>
        </w:rPr>
        <w:t>,</w:t>
      </w:r>
      <w:r w:rsidR="00B6309A">
        <w:rPr>
          <w:rFonts w:ascii="Calibri" w:hAnsi="Calibri" w:cs="Calibri"/>
          <w:bCs/>
          <w:color w:val="000000"/>
        </w:rPr>
        <w:t xml:space="preserve"> </w:t>
      </w:r>
      <w:r w:rsidRPr="003F46A5">
        <w:rPr>
          <w:rFonts w:ascii="Calibri" w:hAnsi="Calibri" w:cs="Calibri"/>
          <w:bCs/>
          <w:color w:val="000000"/>
        </w:rPr>
        <w:t xml:space="preserve">rozpocznie się oferta publiczna. Akcjonariuszom posiadającym co najmniej 0,5 proc. kapitału zakładowego </w:t>
      </w:r>
      <w:r w:rsidR="00224EE1">
        <w:rPr>
          <w:rFonts w:ascii="Calibri" w:hAnsi="Calibri" w:cs="Calibri"/>
          <w:bCs/>
          <w:color w:val="000000"/>
        </w:rPr>
        <w:t>S</w:t>
      </w:r>
      <w:r w:rsidRPr="003F46A5">
        <w:rPr>
          <w:rFonts w:ascii="Calibri" w:hAnsi="Calibri" w:cs="Calibri"/>
          <w:bCs/>
          <w:color w:val="000000"/>
        </w:rPr>
        <w:t>półki będzie przysługiwać pierwszeństwo w obejmowaniu akcji.</w:t>
      </w:r>
    </w:p>
    <w:p w:rsidR="00FE24C6" w:rsidRPr="003F46A5" w:rsidRDefault="00FE24C6" w:rsidP="001A2B64">
      <w:pPr>
        <w:autoSpaceDE w:val="0"/>
        <w:autoSpaceDN w:val="0"/>
        <w:adjustRightInd w:val="0"/>
        <w:spacing w:after="0" w:line="240" w:lineRule="auto"/>
        <w:jc w:val="both"/>
        <w:rPr>
          <w:rFonts w:ascii="Calibri" w:hAnsi="Calibri" w:cs="Calibri"/>
          <w:bCs/>
          <w:color w:val="000000"/>
        </w:rPr>
      </w:pPr>
    </w:p>
    <w:p w:rsidR="00FF4556" w:rsidRPr="003F46A5" w:rsidRDefault="00FE24C6" w:rsidP="00FE24C6">
      <w:pPr>
        <w:autoSpaceDE w:val="0"/>
        <w:autoSpaceDN w:val="0"/>
        <w:adjustRightInd w:val="0"/>
        <w:spacing w:after="0" w:line="240" w:lineRule="auto"/>
        <w:jc w:val="both"/>
        <w:rPr>
          <w:rFonts w:ascii="Calibri" w:hAnsi="Calibri" w:cs="Calibri"/>
          <w:bCs/>
          <w:color w:val="000000"/>
        </w:rPr>
      </w:pPr>
      <w:r w:rsidRPr="003F46A5">
        <w:rPr>
          <w:rFonts w:ascii="Calibri" w:hAnsi="Calibri" w:cs="Calibri"/>
          <w:bCs/>
          <w:color w:val="000000"/>
        </w:rPr>
        <w:lastRenderedPageBreak/>
        <w:t xml:space="preserve">Zgodnie z </w:t>
      </w:r>
      <w:r w:rsidR="001C7BCA" w:rsidRPr="003F46A5">
        <w:rPr>
          <w:rFonts w:ascii="Calibri" w:hAnsi="Calibri" w:cs="Calibri"/>
          <w:bCs/>
          <w:color w:val="000000"/>
        </w:rPr>
        <w:t xml:space="preserve">założonym </w:t>
      </w:r>
      <w:r w:rsidRPr="003F46A5">
        <w:rPr>
          <w:rFonts w:ascii="Calibri" w:hAnsi="Calibri" w:cs="Calibri"/>
          <w:bCs/>
          <w:color w:val="000000"/>
        </w:rPr>
        <w:t xml:space="preserve">harmonogramem, </w:t>
      </w:r>
      <w:r w:rsidR="00224EE1">
        <w:rPr>
          <w:rFonts w:ascii="Calibri" w:hAnsi="Calibri" w:cs="Calibri"/>
          <w:bCs/>
          <w:color w:val="000000"/>
        </w:rPr>
        <w:t>S</w:t>
      </w:r>
      <w:r w:rsidRPr="003F46A5">
        <w:rPr>
          <w:rFonts w:ascii="Calibri" w:hAnsi="Calibri" w:cs="Calibri"/>
          <w:bCs/>
          <w:color w:val="000000"/>
        </w:rPr>
        <w:t xml:space="preserve">półka </w:t>
      </w:r>
      <w:r w:rsidR="0091566E" w:rsidRPr="003F46A5">
        <w:rPr>
          <w:rFonts w:ascii="Calibri" w:hAnsi="Calibri" w:cs="Calibri"/>
          <w:bCs/>
          <w:color w:val="000000"/>
        </w:rPr>
        <w:t xml:space="preserve">planuje </w:t>
      </w:r>
      <w:r w:rsidRPr="003F46A5">
        <w:rPr>
          <w:rFonts w:ascii="Calibri" w:hAnsi="Calibri" w:cs="Calibri"/>
          <w:bCs/>
          <w:color w:val="000000"/>
        </w:rPr>
        <w:t xml:space="preserve">zakończyć proces </w:t>
      </w:r>
      <w:r w:rsidR="001C7BCA" w:rsidRPr="003F46A5">
        <w:rPr>
          <w:rFonts w:ascii="Calibri" w:hAnsi="Calibri" w:cs="Calibri"/>
          <w:bCs/>
          <w:color w:val="000000"/>
        </w:rPr>
        <w:t xml:space="preserve">refinansowania </w:t>
      </w:r>
      <w:r w:rsidRPr="003F46A5">
        <w:rPr>
          <w:rFonts w:ascii="Calibri" w:hAnsi="Calibri" w:cs="Calibri"/>
          <w:bCs/>
          <w:color w:val="000000"/>
        </w:rPr>
        <w:t xml:space="preserve">zadłużenia na przełomie trzeciego i czwartego kwartału 2017 r. </w:t>
      </w:r>
    </w:p>
    <w:p w:rsidR="00FE24C6" w:rsidRPr="003F46A5" w:rsidRDefault="00FE24C6" w:rsidP="00FE24C6">
      <w:pPr>
        <w:autoSpaceDE w:val="0"/>
        <w:autoSpaceDN w:val="0"/>
        <w:adjustRightInd w:val="0"/>
        <w:spacing w:after="0" w:line="240" w:lineRule="auto"/>
        <w:jc w:val="both"/>
        <w:rPr>
          <w:rFonts w:ascii="Calibri" w:hAnsi="Calibri" w:cs="Calibri"/>
          <w:bCs/>
          <w:color w:val="000000"/>
        </w:rPr>
      </w:pPr>
    </w:p>
    <w:tbl>
      <w:tblPr>
        <w:tblStyle w:val="Tabela-Siatka"/>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0"/>
        <w:gridCol w:w="4530"/>
      </w:tblGrid>
      <w:tr w:rsidR="00126092" w:rsidRPr="003F46A5" w:rsidTr="00126092">
        <w:tc>
          <w:tcPr>
            <w:tcW w:w="4530" w:type="dxa"/>
          </w:tcPr>
          <w:p w:rsidR="003D6855" w:rsidRPr="003F46A5" w:rsidRDefault="00405E72" w:rsidP="00126092">
            <w:pPr>
              <w:rPr>
                <w:b/>
              </w:rPr>
            </w:pPr>
            <w:r w:rsidRPr="003F46A5">
              <w:rPr>
                <w:b/>
              </w:rPr>
              <w:t>Kontakt</w:t>
            </w:r>
            <w:r w:rsidR="00E50B92" w:rsidRPr="003F46A5">
              <w:rPr>
                <w:b/>
              </w:rPr>
              <w:t>:</w:t>
            </w:r>
          </w:p>
          <w:p w:rsidR="00126092" w:rsidRPr="003F46A5" w:rsidRDefault="00126092" w:rsidP="00126092">
            <w:r w:rsidRPr="003F46A5">
              <w:rPr>
                <w:b/>
              </w:rPr>
              <w:t>Sebastian Krawczyk</w:t>
            </w:r>
            <w:r w:rsidRPr="003F46A5">
              <w:br/>
              <w:t>MakMedia Group</w:t>
            </w:r>
            <w:r w:rsidRPr="003F46A5">
              <w:br/>
              <w:t>tel: (+48) 608 590 417</w:t>
            </w:r>
            <w:r w:rsidRPr="003F46A5">
              <w:br/>
              <w:t xml:space="preserve">e-mail: </w:t>
            </w:r>
            <w:hyperlink r:id="rId7" w:history="1">
              <w:r w:rsidRPr="003F46A5">
                <w:rPr>
                  <w:rStyle w:val="Hipercze"/>
                </w:rPr>
                <w:t>s.krawczyk@makmedia.pl</w:t>
              </w:r>
            </w:hyperlink>
          </w:p>
        </w:tc>
        <w:tc>
          <w:tcPr>
            <w:tcW w:w="4530" w:type="dxa"/>
          </w:tcPr>
          <w:p w:rsidR="00126092" w:rsidRPr="003F46A5" w:rsidRDefault="00126092" w:rsidP="00A0163F">
            <w:pPr>
              <w:jc w:val="both"/>
            </w:pPr>
          </w:p>
        </w:tc>
      </w:tr>
    </w:tbl>
    <w:p w:rsidR="00FF4556" w:rsidRPr="003F46A5" w:rsidRDefault="00126092" w:rsidP="00FF4556">
      <w:pPr>
        <w:rPr>
          <w:rFonts w:eastAsia="Cambria" w:cs="Cambria"/>
          <w:b/>
        </w:rPr>
      </w:pPr>
      <w:r w:rsidRPr="003F46A5">
        <w:br/>
      </w:r>
      <w:r w:rsidR="00FF4556" w:rsidRPr="003F46A5">
        <w:rPr>
          <w:rFonts w:eastAsia="Cambria" w:cs="Cambria"/>
          <w:b/>
        </w:rPr>
        <w:t>O Cognor Holding</w:t>
      </w:r>
    </w:p>
    <w:p w:rsidR="002265BA" w:rsidRDefault="002265BA" w:rsidP="002265BA">
      <w:pPr>
        <w:jc w:val="both"/>
        <w:rPr>
          <w:rFonts w:eastAsia="Cambria" w:cs="Cambria"/>
        </w:rPr>
      </w:pPr>
      <w:r w:rsidRPr="003F46A5">
        <w:rPr>
          <w:rFonts w:eastAsia="Cambria" w:cs="Cambria"/>
          <w:b/>
        </w:rPr>
        <w:t xml:space="preserve">Cognor Holding </w:t>
      </w:r>
      <w:r w:rsidR="0035725D">
        <w:rPr>
          <w:rFonts w:eastAsia="Cambria" w:cs="Cambria"/>
        </w:rPr>
        <w:t>o</w:t>
      </w:r>
      <w:r w:rsidR="00FF672C" w:rsidRPr="003F46A5">
        <w:rPr>
          <w:rFonts w:eastAsia="Cambria" w:cs="Cambria"/>
        </w:rPr>
        <w:t>d 1997</w:t>
      </w:r>
      <w:r w:rsidRPr="003F46A5">
        <w:rPr>
          <w:rFonts w:eastAsia="Cambria" w:cs="Cambria"/>
        </w:rPr>
        <w:t xml:space="preserve"> roku jest podmiotem notowanym na Giełdzie Papierów Wartościowych w Warszawie, a od roku 2006 stała się częścią większej grupy przemysłowej zajmującej się produkcją wyrobów hutniczych oraz obrotem złomami metali. Obecnie jest jednostką holdingową grupy kapitałowej obejmującej kilkanaście podmiotów działających głównie na terenie Polski.</w:t>
      </w:r>
    </w:p>
    <w:p w:rsidR="007805A8" w:rsidRPr="007805A8" w:rsidRDefault="007805A8" w:rsidP="007805A8">
      <w:pPr>
        <w:jc w:val="both"/>
        <w:rPr>
          <w:rFonts w:eastAsia="Cambria" w:cs="Cambria"/>
          <w:b/>
        </w:rPr>
      </w:pPr>
      <w:r w:rsidRPr="007805A8">
        <w:rPr>
          <w:rFonts w:eastAsia="Cambria" w:cs="Cambria"/>
          <w:b/>
        </w:rPr>
        <w:t>Zastrzeżenie prawne</w:t>
      </w:r>
    </w:p>
    <w:p w:rsidR="007805A8" w:rsidRPr="007805A8" w:rsidRDefault="007805A8" w:rsidP="007805A8">
      <w:pPr>
        <w:jc w:val="both"/>
        <w:rPr>
          <w:rFonts w:eastAsia="Cambria" w:cs="Cambria"/>
        </w:rPr>
      </w:pPr>
      <w:r w:rsidRPr="007805A8">
        <w:rPr>
          <w:rFonts w:eastAsia="Cambria" w:cs="Cambria"/>
        </w:rPr>
        <w:t xml:space="preserve">Niniejszy dokument (oraz zawarte w nim informacje) nie zawiera ani nie stanowi oferty sprzedaży papierów wartościowych, ani też zaproszenia do złożenia oferty nabycia papierów wartościowych, w Stanach Zjednoczonych, Australii, Kanadzie lub Japonii, ani w jakiejkolwiek innej jurysdykcji, w której taka oferta lub zaproszenie byłyby sprzeczne z prawem. Papiery wartościowe, o których mowa w niniejszym dokumencie nie zostały i nie zostaną zarejestrowane zgodnie z amerykańską Ustawą o papierach wartościowych z 1933 roku, z późniejszymi zmianami („Ustawa o papierach wartościowych”) i nie mogą być oferowane ani sprzedawane w Stanach Zjednoczonych, jeśli nie zostaną zarejestrowane zgodnie z Ustawą o papierach wartościowych lub nie będzie przysługiwać w stosunku do nich zwolnienie z wymogów dotyczących rejestracji przewidziane w Ustawie o papierach wartościowych. Nie będzie prowadzona żadna oferta publiczna papierów wartościowych w Stanach Zjednoczonych a </w:t>
      </w:r>
      <w:r w:rsidR="00E166A3" w:rsidRPr="007805A8">
        <w:rPr>
          <w:rFonts w:eastAsia="Cambria" w:cs="Cambria"/>
        </w:rPr>
        <w:t xml:space="preserve">Cognor </w:t>
      </w:r>
      <w:r w:rsidR="00E166A3">
        <w:rPr>
          <w:rFonts w:eastAsia="Cambria" w:cs="Cambria"/>
        </w:rPr>
        <w:t xml:space="preserve">Holding S.A. („Spółka”) </w:t>
      </w:r>
      <w:r w:rsidRPr="007805A8">
        <w:rPr>
          <w:rFonts w:eastAsia="Cambria" w:cs="Cambria"/>
        </w:rPr>
        <w:t>nie planuje dokonania rejestracji zgodnie z Ustawą o papierach wartościowych.</w:t>
      </w:r>
    </w:p>
    <w:p w:rsidR="007805A8" w:rsidRPr="007805A8" w:rsidRDefault="007805A8" w:rsidP="007805A8">
      <w:pPr>
        <w:jc w:val="both"/>
        <w:rPr>
          <w:rFonts w:eastAsia="Cambria" w:cs="Cambria"/>
        </w:rPr>
      </w:pPr>
      <w:r w:rsidRPr="007805A8">
        <w:rPr>
          <w:rFonts w:eastAsia="Cambria" w:cs="Cambria"/>
        </w:rPr>
        <w:t xml:space="preserve">Niniejszy dokument ma charakter wyłącznie promocyjny i nie stanowi prospektu w rozumieniu przepisów prawnych, za pośrednictwem których dokonano implementacji Dyrektywy 2003/71/WE (ze zm.) (Dyrektywa ta łącznie z przepisami prawa, za pośrednictwem których nastąpiła jej implementacja w danym Państwie Członkowskim oraz z innymi właściwymi przepisami prawa, zwana dalej „Dyrektywą Prospektową”) i nie stanowi oferty sprzedaży ani zaproszenia do nabycia papierów wartościowych. Prospekt, po jego zatwierdzeniu przez Komisję Nadzoru </w:t>
      </w:r>
      <w:r w:rsidR="00DC2FFD" w:rsidRPr="007805A8">
        <w:rPr>
          <w:rFonts w:eastAsia="Cambria" w:cs="Cambria"/>
        </w:rPr>
        <w:t>Finansowego</w:t>
      </w:r>
      <w:r w:rsidRPr="007805A8">
        <w:rPr>
          <w:rFonts w:eastAsia="Cambria" w:cs="Cambria"/>
        </w:rPr>
        <w:t xml:space="preserve"> oraz publikacji będzie jedynym prawnie wiążącym dokumentem ofertowym zawierającym informacje o </w:t>
      </w:r>
      <w:r w:rsidR="00D06217">
        <w:rPr>
          <w:rFonts w:eastAsia="Cambria" w:cs="Cambria"/>
        </w:rPr>
        <w:t>Spółce</w:t>
      </w:r>
      <w:r w:rsidRPr="007805A8">
        <w:rPr>
          <w:rFonts w:eastAsia="Cambria" w:cs="Cambria"/>
        </w:rPr>
        <w:t xml:space="preserve"> i oferowanych papierach wartościowych Spółki w Polsce, a także o ich dopuszczeniu i wprowadzeniu do obrotu na rynku regulowanym prowadzonym przez Giełdę Papierów Wartościowych w Warszawie S.A. („Oferta”).</w:t>
      </w:r>
    </w:p>
    <w:p w:rsidR="007805A8" w:rsidRPr="007805A8" w:rsidRDefault="007805A8" w:rsidP="007805A8">
      <w:pPr>
        <w:jc w:val="both"/>
        <w:rPr>
          <w:rFonts w:eastAsia="Cambria" w:cs="Cambria"/>
        </w:rPr>
      </w:pPr>
      <w:r w:rsidRPr="007805A8">
        <w:rPr>
          <w:rFonts w:eastAsia="Cambria" w:cs="Cambria"/>
        </w:rPr>
        <w:t>Rozpowszechnianie tego dokumentu w niektórych państwach może być zabronione. Niedozwolona jest dystrybucja niniejszego dokumentu na terytorium Kanady, Japonii lub Australii. Informacje zawarte w załączonym dokumencie nie stanowią oferty sprzedaży ani zaproszenia do złożenia oferty nabycia papierów wartościowych w Kanadzie, Japonii lub Australii.</w:t>
      </w:r>
    </w:p>
    <w:p w:rsidR="007805A8" w:rsidRPr="007805A8" w:rsidRDefault="007805A8" w:rsidP="007805A8">
      <w:pPr>
        <w:jc w:val="both"/>
        <w:rPr>
          <w:rFonts w:eastAsia="Cambria" w:cs="Cambria"/>
        </w:rPr>
      </w:pPr>
      <w:r w:rsidRPr="007805A8">
        <w:rPr>
          <w:rFonts w:eastAsia="Cambria" w:cs="Cambria"/>
        </w:rPr>
        <w:lastRenderedPageBreak/>
        <w:t>W Wielkiej Brytanii niniejszy materiał jest skierowany wyłącznie do inwestorów profesjonalnych (investment professionals) w rozumieniu art. 19 ust. 5 angielskiego rozporządzenia z 2005 r. o działaniach promocyjnych w związku z ustawą o usługach i rynkach finansowych z 2000 r. (Financial Services and Markets Act 2000 (Financial Promotion) Order 2005, „Angielskie Rozporządzenie”) oraz do podmiotów o wysokiej wartości aktywów netto, które uprawnione są do otrzymania niniejszego komunikatu na podstawie art. 49 ust. 2 Angielskiego Rozporządzenia (wszystkie te podmioty zwane są dalej „uprawnionymi podmiotami”). Wszelkie działania inwestycyjne, których dotyczy niniejszy materiał, będą podejmowane lub zawierane wyłącznie z uprawnionymi podmiotami. Osoby niebędące uprawnionymi podmiotami nie powinny podejmować działań ani polegać na informacjach zawartych w niniejszym materiale. Oferta nie zostanie przeprowadzona w Wielkiej Brytanii jako oferta publiczna.</w:t>
      </w:r>
    </w:p>
    <w:p w:rsidR="007805A8" w:rsidRPr="007805A8" w:rsidRDefault="007805A8" w:rsidP="007805A8">
      <w:pPr>
        <w:jc w:val="both"/>
        <w:rPr>
          <w:rFonts w:eastAsia="Cambria" w:cs="Cambria"/>
        </w:rPr>
      </w:pPr>
      <w:r w:rsidRPr="007805A8">
        <w:rPr>
          <w:rFonts w:eastAsia="Cambria" w:cs="Cambria"/>
        </w:rPr>
        <w:t>W państwach członkowskich Unii Europejskiej z wyłączeniem Wielkiej Brytanii niniejszy materiał skierowany jest wyłącznie do osób będących „inwestorami kwalifikowanymi” w rozumieniu art. 2 ust. 1 pkt e) Dyrektywy Prospektowej („Inwestorzy Kwalifikowani”) lub na podstawie wyjątku określonego w art. 3 ust. 2 Dyrektywy Prospektowej. Uznaje się, że Inwestorzy Kwalifikowani złożyli oświadczenie, że nie nabywają papierów wartościowych w ramach Oferty w imieniu osób innych niż Inwestorzy Kwalifikowani.</w:t>
      </w:r>
    </w:p>
    <w:p w:rsidR="007805A8" w:rsidRPr="007805A8" w:rsidRDefault="007805A8" w:rsidP="007805A8">
      <w:pPr>
        <w:jc w:val="both"/>
        <w:rPr>
          <w:rFonts w:eastAsia="Cambria" w:cs="Cambria"/>
        </w:rPr>
      </w:pPr>
      <w:r w:rsidRPr="007805A8">
        <w:rPr>
          <w:rFonts w:eastAsia="Cambria" w:cs="Cambria"/>
        </w:rPr>
        <w:t>Niniejszy materiał nie stanowi rekomendacji w rozumieniu rozporządzenia Ministra Finansów z dnia 19 października 2005 r. w sprawie informacji stanowiących rekomendacje dotyczące instrumentów finansowych, ich emitentów lub wystawców.</w:t>
      </w:r>
    </w:p>
    <w:p w:rsidR="007805A8" w:rsidRDefault="007805A8" w:rsidP="007805A8">
      <w:pPr>
        <w:jc w:val="both"/>
        <w:rPr>
          <w:rFonts w:eastAsia="Cambria" w:cs="Cambria"/>
        </w:rPr>
      </w:pPr>
      <w:r w:rsidRPr="007805A8">
        <w:rPr>
          <w:rFonts w:eastAsia="Cambria" w:cs="Cambria"/>
        </w:rPr>
        <w:t>Stwierdzenia dotyczące przyszłości odnoszą się do znanych i nieznanych kwestii obarczonych ryzykiem i niepewnością lub innych ważnych czynników, które mogą spowodować, że faktyczne wyniki Spółki, jej osiągnięcia i rozwój będą się istotnie różniły od wyników, osiągnięć i rozwoju przewidywanych w tych stwierdzeniach lub z nich wynikających. Spółka nie ma obowiązku przekazywać do publicznej wiadomości aktualizacji lub weryfikacji stwierdzeń dotyczących przyszłości zamieszczonych w niniejszym materiale w związku z pojawieniem się nowych informacji, wystąpieniem przyszłych zdarzeń lub innymi okolicznościami.</w:t>
      </w:r>
    </w:p>
    <w:p w:rsidR="007805A8" w:rsidRPr="003F46A5" w:rsidRDefault="007805A8" w:rsidP="002265BA">
      <w:pPr>
        <w:jc w:val="both"/>
        <w:rPr>
          <w:rFonts w:eastAsia="Cambria" w:cs="Cambria"/>
        </w:rPr>
      </w:pPr>
    </w:p>
    <w:p w:rsidR="001E283B" w:rsidRPr="003F46A5" w:rsidRDefault="001E283B" w:rsidP="002265BA">
      <w:pPr>
        <w:jc w:val="both"/>
        <w:rPr>
          <w:rFonts w:eastAsia="Cambria" w:cs="Cambria"/>
        </w:rPr>
      </w:pPr>
    </w:p>
    <w:sectPr w:rsidR="001E283B" w:rsidRPr="003F46A5" w:rsidSect="00A94326">
      <w:headerReference w:type="default" r:id="rId8"/>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44E" w:rsidRDefault="0088044E" w:rsidP="001E283B">
      <w:pPr>
        <w:spacing w:after="0" w:line="240" w:lineRule="auto"/>
      </w:pPr>
      <w:r>
        <w:separator/>
      </w:r>
    </w:p>
  </w:endnote>
  <w:endnote w:type="continuationSeparator" w:id="0">
    <w:p w:rsidR="0088044E" w:rsidRDefault="0088044E" w:rsidP="001E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44E" w:rsidRDefault="0088044E" w:rsidP="001E283B">
      <w:pPr>
        <w:spacing w:after="0" w:line="240" w:lineRule="auto"/>
      </w:pPr>
      <w:r>
        <w:separator/>
      </w:r>
    </w:p>
  </w:footnote>
  <w:footnote w:type="continuationSeparator" w:id="0">
    <w:p w:rsidR="0088044E" w:rsidRDefault="0088044E" w:rsidP="001E2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06" w:rsidRDefault="003B6206" w:rsidP="00D702DB">
    <w:pPr>
      <w:pStyle w:val="Nagwek"/>
      <w:tabs>
        <w:tab w:val="clear" w:pos="4536"/>
        <w:tab w:val="clear" w:pos="9072"/>
        <w:tab w:val="center" w:pos="3038"/>
      </w:tabs>
    </w:pPr>
    <w:r>
      <w:rPr>
        <w:noProof/>
        <w:lang w:eastAsia="pl-PL"/>
      </w:rPr>
      <w:drawing>
        <wp:anchor distT="0" distB="0" distL="114300" distR="114300" simplePos="0" relativeHeight="251663360" behindDoc="1" locked="0" layoutInCell="1" allowOverlap="1" wp14:anchorId="260CE415" wp14:editId="5796CB26">
          <wp:simplePos x="0" y="0"/>
          <wp:positionH relativeFrom="column">
            <wp:posOffset>455886</wp:posOffset>
          </wp:positionH>
          <wp:positionV relativeFrom="paragraph">
            <wp:posOffset>-3810</wp:posOffset>
          </wp:positionV>
          <wp:extent cx="1275715" cy="794385"/>
          <wp:effectExtent l="0" t="0" r="0" b="0"/>
          <wp:wrapNone/>
          <wp:docPr id="34" name="Picture 34" descr="D:\!!!_Dokumenty\Cognor\cogn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Dokumenty\Cognor\cogno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5715" cy="794385"/>
                  </a:xfrm>
                  <a:prstGeom prst="rect">
                    <a:avLst/>
                  </a:prstGeom>
                  <a:noFill/>
                  <a:ln>
                    <a:noFill/>
                  </a:ln>
                </pic:spPr>
              </pic:pic>
            </a:graphicData>
          </a:graphic>
        </wp:anchor>
      </w:drawing>
    </w:r>
    <w:r>
      <w:rPr>
        <w:noProof/>
        <w:lang w:eastAsia="pl-PL"/>
      </w:rPr>
      <w:drawing>
        <wp:anchor distT="0" distB="0" distL="114300" distR="114300" simplePos="0" relativeHeight="251659264" behindDoc="1" locked="0" layoutInCell="1" allowOverlap="1" wp14:anchorId="4EFC629F" wp14:editId="4360443B">
          <wp:simplePos x="0" y="0"/>
          <wp:positionH relativeFrom="column">
            <wp:posOffset>-909409</wp:posOffset>
          </wp:positionH>
          <wp:positionV relativeFrom="paragraph">
            <wp:posOffset>-435610</wp:posOffset>
          </wp:positionV>
          <wp:extent cx="7810521" cy="2945219"/>
          <wp:effectExtent l="0" t="0" r="0" b="0"/>
          <wp:wrapNone/>
          <wp:docPr id="35" name="Picture 35" descr="D:\!!!_Dokumenty\Cognor\Informacje prasowe\t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Dokumenty\Cognor\Informacje prasowe\tlo.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6259" t="22790" r="16259" b="-22790"/>
                  <a:stretch/>
                </pic:blipFill>
                <pic:spPr bwMode="auto">
                  <a:xfrm>
                    <a:off x="0" y="0"/>
                    <a:ext cx="7810521" cy="2945219"/>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2336" behindDoc="0" locked="0" layoutInCell="1" allowOverlap="1" wp14:anchorId="5F26566F" wp14:editId="5CCED9B5">
              <wp:simplePos x="0" y="0"/>
              <wp:positionH relativeFrom="column">
                <wp:posOffset>-900430</wp:posOffset>
              </wp:positionH>
              <wp:positionV relativeFrom="paragraph">
                <wp:posOffset>363855</wp:posOffset>
              </wp:positionV>
              <wp:extent cx="899795" cy="106045"/>
              <wp:effectExtent l="0" t="0" r="0" b="82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0604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98068A9" id="Rectangle 28" o:spid="_x0000_s1026" style="position:absolute;margin-left:-70.9pt;margin-top:28.65pt;width:70.8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I+sAIAANkFAAAOAAAAZHJzL2Uyb0RvYy54bWysVEtv2zAMvg/YfxB0X+0ESdsYdYqgRYcB&#10;WRu0HXpWZSk2JouapLz260dJtpt23Q7DLoLEx0fyE8mLy32ryFZY14Au6egkp0RoDlWj1yX99njz&#10;6ZwS55mumAItSnoQjl7OP3642JlCjKEGVQlLEES7YmdKWntviixzvBYtcydghEalBNsyj0+7zirL&#10;dojeqmyc56fZDmxlLHDhHEqvk5LOI76Ugvs7KZ3wRJUUc/PxtPF8Dmc2v2DF2jJTN7xLg/1DFi1r&#10;NAYdoK6ZZ2Rjm9+g2oZbcCD9CYc2AykbLmINWM0of1PNQ82MiLUgOc4MNLn/B8tvtytLmqqkY/wp&#10;zVr8o3tkjem1EgRlSNDOuALtHszKhhKdWQL/7lCRvdKEh+ts9tK2wRYLJPvI9mFgW+w94Sg8n83O&#10;ZlNKOKpG+Wk+mYZgGSt6Z2Od/yygJeFSUotpRY7Zdul8Mu1NYl6gmuqmUSo+QgOJK2XJluHX+/04&#10;uqpN+xWqJMP2ybsGQDG2SRKf92LMJLZhQIl5ueMASocwGkLAlEuQREYSCZEOf1Ai2Cl9LyTSjGWn&#10;RAbkFJRxLrQfxRxdzSqRxNM/5hIBA7LE+AN2B/C69h47ZdnZB1cR52NwzlP0vzkPHjEyaD84t40G&#10;+x6Awqq6yMm+JylRE1h6huqATWghTacz/KbBH18y51fM4jji4OKK8Xd4SAW7kkJ3o6QG+/M9ebDH&#10;KUEtJTsc75K6HxtmBSXqi8b5mY0mk7AP4mMyPRvjwx5rno81etNeAbbRCJeZ4fEa7L3qr9JC+4Sb&#10;aBGiooppjrFLyr3tH1c+rR3cZVwsFtEMd4BhfqkfDA/ggdXQ0Y/7J2ZN1/Ye5+UW+lXAijfdn2yD&#10;p4bFxoNs4mi88NrxjfsjNnG368KCOn5Hq5eNPP8FAAD//wMAUEsDBBQABgAIAAAAIQBk63bA3QAA&#10;AAgBAAAPAAAAZHJzL2Rvd25yZXYueG1sTI/BTsMwEETvSPyDtUjcUse0UAjZVAgVwZU2EhzdZEks&#10;7HWI3Sb8PeYEx9GMZt6Um9lZcaIxGM8IapGDIG58a7hDqPdP2S2IEDW32nomhG8KsKnOz0pdtH7i&#10;VzrtYidSCYdCI/QxDoWUoenJ6bDwA3HyPvzodExy7GQ76imVOyuv8vxGOm04LfR6oMeems/d0SFs&#10;zUx2etO0N8939VLxy1e9fUe8vJgf7kFEmuNfGH7xEzpUiengj9wGYREytVKJPSJcr5cgUiJTIA4I&#10;61UOsirl/wPVDwAAAP//AwBQSwECLQAUAAYACAAAACEAtoM4kv4AAADhAQAAEwAAAAAAAAAAAAAA&#10;AAAAAAAAW0NvbnRlbnRfVHlwZXNdLnhtbFBLAQItABQABgAIAAAAIQA4/SH/1gAAAJQBAAALAAAA&#10;AAAAAAAAAAAAAC8BAABfcmVscy8ucmVsc1BLAQItABQABgAIAAAAIQBgv0I+sAIAANkFAAAOAAAA&#10;AAAAAAAAAAAAAC4CAABkcnMvZTJvRG9jLnhtbFBLAQItABQABgAIAAAAIQBk63bA3QAAAAgBAAAP&#10;AAAAAAAAAAAAAAAAAAoFAABkcnMvZG93bnJldi54bWxQSwUGAAAAAAQABADzAAAAFAYAAAAA&#10;" fillcolor="#d5dce4 [671]" stroked="f" strokeweight="1pt"/>
          </w:pict>
        </mc:Fallback>
      </mc:AlternateContent>
    </w:r>
    <w:r>
      <w:rPr>
        <w:noProof/>
        <w:lang w:eastAsia="pl-PL"/>
      </w:rPr>
      <mc:AlternateContent>
        <mc:Choice Requires="wps">
          <w:drawing>
            <wp:anchor distT="0" distB="0" distL="114300" distR="114300" simplePos="0" relativeHeight="251660288" behindDoc="0" locked="0" layoutInCell="1" allowOverlap="1" wp14:anchorId="0682D87D" wp14:editId="64B7DDD1">
              <wp:simplePos x="0" y="0"/>
              <wp:positionH relativeFrom="column">
                <wp:posOffset>2108200</wp:posOffset>
              </wp:positionH>
              <wp:positionV relativeFrom="paragraph">
                <wp:posOffset>363855</wp:posOffset>
              </wp:positionV>
              <wp:extent cx="4546600" cy="106045"/>
              <wp:effectExtent l="0" t="0" r="6350" b="82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0" cy="10604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8F94DD" id="Rectangle 27" o:spid="_x0000_s1026" style="position:absolute;margin-left:166pt;margin-top:28.65pt;width:358pt;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qAswIAANoFAAAOAAAAZHJzL2Uyb0RvYy54bWysVE1v2zAMvQ/YfxB0X+0ESdoZdYqgRYcB&#10;WVe0HXpWZSk2JouapMTJfv0oyXbTrtth2EWQ+PFIPpE8v9i3iuyEdQ3okk5OckqE5lA1elPSbw/X&#10;H84ocZ7piinQoqQH4ejF8v27884UYgo1qEpYgiDaFZ0pae29KbLM8Vq0zJ2AERqVEmzLPD7tJqss&#10;6xC9Vdk0zxdZB7YyFrhwDqVXSUmXEV9Kwf1XKZ3wRJUUc/PxtPF8Cme2PGfFxjJTN7xPg/1DFi1r&#10;NAYdoa6YZ2Rrm9+g2oZbcCD9CYc2AykbLmINWM0kf1XNfc2MiLUgOc6MNLn/B8tvdreWNFVJp6eU&#10;aNbiH90ha0xvlCAoQ4I64wq0uze3NpTozBr4d4eK7IUmPFxvs5e2DbZYINlHtg8j22LvCUfhbD5b&#10;LHL8FI66Sb7IZ/MQLWPF4G2s858EtCRcSmoxr0gy262dT6aDSUwMVFNdN0rFR+ggcaks2TH8e7+f&#10;Rle1bb9AlWTYPxgecViBYuyTJD4bxJhJ7MOAEvNyxwGUDo4aQsCUS5BEShILkQ9/UCIG0HdCIs9Y&#10;d0pkRE5BGedC+0nM0dWsEkk8/2MuKgAGZInxR+we4GXtA3bKsrcPriIOyOicp+h/cx49YmTQfnRu&#10;Gw32LQCFVfWRk/1AUqImsPQE1QG70EIaT2f4dYM/vmbO3zKL84hNgjvGf8VDKuhKCv2Nkhrsz7fk&#10;wR7HBLWUdDjfJXU/tswKStRnjQP0cTKbhYUQH7P56RQf9ljzdKzR2/YSsI0muM0Mj9dg79VwlRba&#10;R1xFqxAVVUxzjF1S7u3wuPRp7+Ay42K1ima4BAzza31veAAPrIaOftg/Mmv6tvc4MDcw7AJWvOr+&#10;ZBs8Nay2HmQTR+OZ155vXCCxiftlFzbU8TtaPa/k5S8AAAD//wMAUEsDBBQABgAIAAAAIQB8VdW5&#10;3gAAAAoBAAAPAAAAZHJzL2Rvd25yZXYueG1sTI/BTsMwEETvSPyDtUjcqNOm0BKyqRAqgittJDi6&#10;8ZJY2OsQu034e9wTHGdnNPum3EzOihMNwXhGmM8yEMSN14ZbhHr/fLMGEaJiraxnQvihAJvq8qJU&#10;hfYjv9FpF1uRSjgUCqGLsS+kDE1HToWZ74mT9+kHp2KSQyv1oMZU7qxcZNmddMpw+tCpnp46ar52&#10;R4ewNRPZ8V3R3rzc1/mcX7/r7Qfi9dX0+AAi0hT/wnDGT+hQJaaDP7IOwiLk+SJtiQi3qxzEOZAt&#10;1+lyQFgtM5BVKf9PqH4BAAD//wMAUEsBAi0AFAAGAAgAAAAhALaDOJL+AAAA4QEAABMAAAAAAAAA&#10;AAAAAAAAAAAAAFtDb250ZW50X1R5cGVzXS54bWxQSwECLQAUAAYACAAAACEAOP0h/9YAAACUAQAA&#10;CwAAAAAAAAAAAAAAAAAvAQAAX3JlbHMvLnJlbHNQSwECLQAUAAYACAAAACEAH156gLMCAADaBQAA&#10;DgAAAAAAAAAAAAAAAAAuAgAAZHJzL2Uyb0RvYy54bWxQSwECLQAUAAYACAAAACEAfFXVud4AAAAK&#10;AQAADwAAAAAAAAAAAAAAAAANBQAAZHJzL2Rvd25yZXYueG1sUEsFBgAAAAAEAAQA8wAAABgGAAAA&#10;AA==&#10;" fillcolor="#d5dce4 [671]" stroked="f" strokeweight="1pt"/>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6"/>
    <w:docVar w:name="SWDocIDLocation" w:val="1"/>
  </w:docVars>
  <w:rsids>
    <w:rsidRoot w:val="001E283B"/>
    <w:rsid w:val="00002699"/>
    <w:rsid w:val="00004784"/>
    <w:rsid w:val="0000698E"/>
    <w:rsid w:val="00046B39"/>
    <w:rsid w:val="00093A7D"/>
    <w:rsid w:val="001117A8"/>
    <w:rsid w:val="00126092"/>
    <w:rsid w:val="00161658"/>
    <w:rsid w:val="00165673"/>
    <w:rsid w:val="001732E6"/>
    <w:rsid w:val="00173DEC"/>
    <w:rsid w:val="001A2B64"/>
    <w:rsid w:val="001C7BCA"/>
    <w:rsid w:val="001D7814"/>
    <w:rsid w:val="001E283B"/>
    <w:rsid w:val="001F3C15"/>
    <w:rsid w:val="00224EE1"/>
    <w:rsid w:val="002265BA"/>
    <w:rsid w:val="002344FC"/>
    <w:rsid w:val="002440FB"/>
    <w:rsid w:val="0029587B"/>
    <w:rsid w:val="002B1B8F"/>
    <w:rsid w:val="0030727B"/>
    <w:rsid w:val="003235EE"/>
    <w:rsid w:val="003353CB"/>
    <w:rsid w:val="0035725D"/>
    <w:rsid w:val="00365746"/>
    <w:rsid w:val="00386F60"/>
    <w:rsid w:val="00390BAE"/>
    <w:rsid w:val="003959A6"/>
    <w:rsid w:val="003975D8"/>
    <w:rsid w:val="003A7D7F"/>
    <w:rsid w:val="003B6206"/>
    <w:rsid w:val="003C57A8"/>
    <w:rsid w:val="003D09C7"/>
    <w:rsid w:val="003D6855"/>
    <w:rsid w:val="003F1344"/>
    <w:rsid w:val="003F46A5"/>
    <w:rsid w:val="00401A04"/>
    <w:rsid w:val="00405E72"/>
    <w:rsid w:val="00481AFA"/>
    <w:rsid w:val="0049531A"/>
    <w:rsid w:val="004B7810"/>
    <w:rsid w:val="004C373A"/>
    <w:rsid w:val="00510ED4"/>
    <w:rsid w:val="00544A36"/>
    <w:rsid w:val="00547F24"/>
    <w:rsid w:val="0056212E"/>
    <w:rsid w:val="005D2A86"/>
    <w:rsid w:val="005D72B6"/>
    <w:rsid w:val="005E50E8"/>
    <w:rsid w:val="005F2529"/>
    <w:rsid w:val="00616AF8"/>
    <w:rsid w:val="00626188"/>
    <w:rsid w:val="006A36C0"/>
    <w:rsid w:val="007058ED"/>
    <w:rsid w:val="007311F9"/>
    <w:rsid w:val="0077400F"/>
    <w:rsid w:val="007805A8"/>
    <w:rsid w:val="007837E4"/>
    <w:rsid w:val="007A0C95"/>
    <w:rsid w:val="007B27EB"/>
    <w:rsid w:val="007C4E16"/>
    <w:rsid w:val="007E4C31"/>
    <w:rsid w:val="007F3A9C"/>
    <w:rsid w:val="00801F53"/>
    <w:rsid w:val="00810F00"/>
    <w:rsid w:val="00812F5D"/>
    <w:rsid w:val="00843E90"/>
    <w:rsid w:val="00845C11"/>
    <w:rsid w:val="00864B18"/>
    <w:rsid w:val="00876B55"/>
    <w:rsid w:val="0088044E"/>
    <w:rsid w:val="00881F44"/>
    <w:rsid w:val="008B2534"/>
    <w:rsid w:val="008E7F5E"/>
    <w:rsid w:val="0091566E"/>
    <w:rsid w:val="0092131F"/>
    <w:rsid w:val="00935F9F"/>
    <w:rsid w:val="009933A9"/>
    <w:rsid w:val="00993F7F"/>
    <w:rsid w:val="009C0DEB"/>
    <w:rsid w:val="009C47AA"/>
    <w:rsid w:val="009E1236"/>
    <w:rsid w:val="009E5CA1"/>
    <w:rsid w:val="009F1F42"/>
    <w:rsid w:val="00A0163F"/>
    <w:rsid w:val="00A25FA1"/>
    <w:rsid w:val="00A3537E"/>
    <w:rsid w:val="00A4085E"/>
    <w:rsid w:val="00A50E2D"/>
    <w:rsid w:val="00A55C31"/>
    <w:rsid w:val="00A94326"/>
    <w:rsid w:val="00AA3100"/>
    <w:rsid w:val="00AB3C3D"/>
    <w:rsid w:val="00AB6020"/>
    <w:rsid w:val="00AE379D"/>
    <w:rsid w:val="00AF44A6"/>
    <w:rsid w:val="00B0132D"/>
    <w:rsid w:val="00B24907"/>
    <w:rsid w:val="00B40073"/>
    <w:rsid w:val="00B46DC9"/>
    <w:rsid w:val="00B5082C"/>
    <w:rsid w:val="00B522C0"/>
    <w:rsid w:val="00B625EB"/>
    <w:rsid w:val="00B6309A"/>
    <w:rsid w:val="00BD484F"/>
    <w:rsid w:val="00C13834"/>
    <w:rsid w:val="00C157BD"/>
    <w:rsid w:val="00C56A90"/>
    <w:rsid w:val="00C925C4"/>
    <w:rsid w:val="00CB0B68"/>
    <w:rsid w:val="00CF34E2"/>
    <w:rsid w:val="00D06217"/>
    <w:rsid w:val="00D16C8B"/>
    <w:rsid w:val="00D47CA3"/>
    <w:rsid w:val="00D51675"/>
    <w:rsid w:val="00D55526"/>
    <w:rsid w:val="00D702DB"/>
    <w:rsid w:val="00D76409"/>
    <w:rsid w:val="00D85869"/>
    <w:rsid w:val="00D91B2D"/>
    <w:rsid w:val="00D95CDB"/>
    <w:rsid w:val="00DC2FFD"/>
    <w:rsid w:val="00DE133A"/>
    <w:rsid w:val="00E01D25"/>
    <w:rsid w:val="00E14C7D"/>
    <w:rsid w:val="00E166A3"/>
    <w:rsid w:val="00E17C58"/>
    <w:rsid w:val="00E25C30"/>
    <w:rsid w:val="00E443C5"/>
    <w:rsid w:val="00E50B92"/>
    <w:rsid w:val="00E52BEC"/>
    <w:rsid w:val="00EA4508"/>
    <w:rsid w:val="00EA78FA"/>
    <w:rsid w:val="00EB27B6"/>
    <w:rsid w:val="00EB7FDB"/>
    <w:rsid w:val="00EC01C1"/>
    <w:rsid w:val="00EE1BB0"/>
    <w:rsid w:val="00EE3BF8"/>
    <w:rsid w:val="00F13CFA"/>
    <w:rsid w:val="00F322D5"/>
    <w:rsid w:val="00F3728C"/>
    <w:rsid w:val="00F376E9"/>
    <w:rsid w:val="00F41A4F"/>
    <w:rsid w:val="00F60630"/>
    <w:rsid w:val="00F61746"/>
    <w:rsid w:val="00FA055A"/>
    <w:rsid w:val="00FB5627"/>
    <w:rsid w:val="00FE24C6"/>
    <w:rsid w:val="00FF1A12"/>
    <w:rsid w:val="00FF4556"/>
    <w:rsid w:val="00FF6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3E060"/>
  <w15:docId w15:val="{1F65261E-F6EA-417F-8781-E7670A27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283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28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283B"/>
  </w:style>
  <w:style w:type="paragraph" w:styleId="Stopka">
    <w:name w:val="footer"/>
    <w:basedOn w:val="Normalny"/>
    <w:link w:val="StopkaZnak"/>
    <w:uiPriority w:val="99"/>
    <w:unhideWhenUsed/>
    <w:rsid w:val="001E2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83B"/>
  </w:style>
  <w:style w:type="paragraph" w:customStyle="1" w:styleId="Default">
    <w:name w:val="Default"/>
    <w:rsid w:val="00B24907"/>
    <w:pPr>
      <w:autoSpaceDE w:val="0"/>
      <w:autoSpaceDN w:val="0"/>
      <w:adjustRightInd w:val="0"/>
      <w:spacing w:after="0" w:line="240" w:lineRule="auto"/>
    </w:pPr>
    <w:rPr>
      <w:rFonts w:ascii="Century Gothic" w:eastAsia="Times New Roman" w:hAnsi="Century Gothic" w:cs="Times New Roman"/>
      <w:color w:val="000000"/>
      <w:sz w:val="24"/>
      <w:szCs w:val="24"/>
      <w:lang w:eastAsia="pl-PL"/>
    </w:rPr>
  </w:style>
  <w:style w:type="character" w:styleId="Hipercze">
    <w:name w:val="Hyperlink"/>
    <w:basedOn w:val="Domylnaczcionkaakapitu"/>
    <w:uiPriority w:val="99"/>
    <w:unhideWhenUsed/>
    <w:rsid w:val="00126092"/>
    <w:rPr>
      <w:color w:val="0563C1" w:themeColor="hyperlink"/>
      <w:u w:val="single"/>
    </w:rPr>
  </w:style>
  <w:style w:type="table" w:styleId="Tabela-Siatka">
    <w:name w:val="Table Grid"/>
    <w:basedOn w:val="Standardowy"/>
    <w:uiPriority w:val="39"/>
    <w:rsid w:val="00126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933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33A9"/>
    <w:rPr>
      <w:sz w:val="20"/>
      <w:szCs w:val="20"/>
    </w:rPr>
  </w:style>
  <w:style w:type="character" w:styleId="Odwoanieprzypisukocowego">
    <w:name w:val="endnote reference"/>
    <w:basedOn w:val="Domylnaczcionkaakapitu"/>
    <w:uiPriority w:val="99"/>
    <w:semiHidden/>
    <w:unhideWhenUsed/>
    <w:rsid w:val="009933A9"/>
    <w:rPr>
      <w:vertAlign w:val="superscript"/>
    </w:rPr>
  </w:style>
  <w:style w:type="character" w:styleId="Odwoaniedokomentarza">
    <w:name w:val="annotation reference"/>
    <w:basedOn w:val="Domylnaczcionkaakapitu"/>
    <w:uiPriority w:val="99"/>
    <w:semiHidden/>
    <w:unhideWhenUsed/>
    <w:rsid w:val="00D16C8B"/>
    <w:rPr>
      <w:sz w:val="16"/>
      <w:szCs w:val="16"/>
    </w:rPr>
  </w:style>
  <w:style w:type="paragraph" w:styleId="Tekstkomentarza">
    <w:name w:val="annotation text"/>
    <w:basedOn w:val="Normalny"/>
    <w:link w:val="TekstkomentarzaZnak"/>
    <w:uiPriority w:val="99"/>
    <w:semiHidden/>
    <w:unhideWhenUsed/>
    <w:rsid w:val="00D16C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6C8B"/>
    <w:rPr>
      <w:sz w:val="20"/>
      <w:szCs w:val="20"/>
    </w:rPr>
  </w:style>
  <w:style w:type="paragraph" w:styleId="Tematkomentarza">
    <w:name w:val="annotation subject"/>
    <w:basedOn w:val="Tekstkomentarza"/>
    <w:next w:val="Tekstkomentarza"/>
    <w:link w:val="TematkomentarzaZnak"/>
    <w:uiPriority w:val="99"/>
    <w:semiHidden/>
    <w:unhideWhenUsed/>
    <w:rsid w:val="00D16C8B"/>
    <w:rPr>
      <w:b/>
      <w:bCs/>
    </w:rPr>
  </w:style>
  <w:style w:type="character" w:customStyle="1" w:styleId="TematkomentarzaZnak">
    <w:name w:val="Temat komentarza Znak"/>
    <w:basedOn w:val="TekstkomentarzaZnak"/>
    <w:link w:val="Tematkomentarza"/>
    <w:uiPriority w:val="99"/>
    <w:semiHidden/>
    <w:rsid w:val="00D16C8B"/>
    <w:rPr>
      <w:b/>
      <w:bCs/>
      <w:sz w:val="20"/>
      <w:szCs w:val="20"/>
    </w:rPr>
  </w:style>
  <w:style w:type="paragraph" w:styleId="Tekstdymka">
    <w:name w:val="Balloon Text"/>
    <w:basedOn w:val="Normalny"/>
    <w:link w:val="TekstdymkaZnak"/>
    <w:uiPriority w:val="99"/>
    <w:semiHidden/>
    <w:unhideWhenUsed/>
    <w:rsid w:val="00D16C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6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5585">
      <w:bodyDiv w:val="1"/>
      <w:marLeft w:val="0"/>
      <w:marRight w:val="0"/>
      <w:marTop w:val="0"/>
      <w:marBottom w:val="0"/>
      <w:divBdr>
        <w:top w:val="none" w:sz="0" w:space="0" w:color="auto"/>
        <w:left w:val="none" w:sz="0" w:space="0" w:color="auto"/>
        <w:bottom w:val="none" w:sz="0" w:space="0" w:color="auto"/>
        <w:right w:val="none" w:sz="0" w:space="0" w:color="auto"/>
      </w:divBdr>
    </w:div>
    <w:div w:id="107313945">
      <w:bodyDiv w:val="1"/>
      <w:marLeft w:val="0"/>
      <w:marRight w:val="0"/>
      <w:marTop w:val="0"/>
      <w:marBottom w:val="0"/>
      <w:divBdr>
        <w:top w:val="none" w:sz="0" w:space="0" w:color="auto"/>
        <w:left w:val="none" w:sz="0" w:space="0" w:color="auto"/>
        <w:bottom w:val="none" w:sz="0" w:space="0" w:color="auto"/>
        <w:right w:val="none" w:sz="0" w:space="0" w:color="auto"/>
      </w:divBdr>
    </w:div>
    <w:div w:id="299922511">
      <w:bodyDiv w:val="1"/>
      <w:marLeft w:val="0"/>
      <w:marRight w:val="0"/>
      <w:marTop w:val="0"/>
      <w:marBottom w:val="0"/>
      <w:divBdr>
        <w:top w:val="none" w:sz="0" w:space="0" w:color="auto"/>
        <w:left w:val="none" w:sz="0" w:space="0" w:color="auto"/>
        <w:bottom w:val="none" w:sz="0" w:space="0" w:color="auto"/>
        <w:right w:val="none" w:sz="0" w:space="0" w:color="auto"/>
      </w:divBdr>
    </w:div>
    <w:div w:id="538786052">
      <w:bodyDiv w:val="1"/>
      <w:marLeft w:val="0"/>
      <w:marRight w:val="0"/>
      <w:marTop w:val="0"/>
      <w:marBottom w:val="0"/>
      <w:divBdr>
        <w:top w:val="none" w:sz="0" w:space="0" w:color="auto"/>
        <w:left w:val="none" w:sz="0" w:space="0" w:color="auto"/>
        <w:bottom w:val="none" w:sz="0" w:space="0" w:color="auto"/>
        <w:right w:val="none" w:sz="0" w:space="0" w:color="auto"/>
      </w:divBdr>
    </w:div>
    <w:div w:id="701782895">
      <w:bodyDiv w:val="1"/>
      <w:marLeft w:val="0"/>
      <w:marRight w:val="0"/>
      <w:marTop w:val="0"/>
      <w:marBottom w:val="0"/>
      <w:divBdr>
        <w:top w:val="none" w:sz="0" w:space="0" w:color="auto"/>
        <w:left w:val="none" w:sz="0" w:space="0" w:color="auto"/>
        <w:bottom w:val="none" w:sz="0" w:space="0" w:color="auto"/>
        <w:right w:val="none" w:sz="0" w:space="0" w:color="auto"/>
      </w:divBdr>
    </w:div>
    <w:div w:id="15359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rawczyk@makmedia.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59786-8D70-446B-97F7-6A78D846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1161</Words>
  <Characters>6968</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BARTEK</dc:creator>
  <cp:lastModifiedBy>Adam</cp:lastModifiedBy>
  <cp:revision>5</cp:revision>
  <dcterms:created xsi:type="dcterms:W3CDTF">2017-06-28T12:08:00Z</dcterms:created>
  <dcterms:modified xsi:type="dcterms:W3CDTF">2017-06-28T12:25:00Z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C:\Users\lesniakf\Desktop\Cognor-złozenie prospektu_informacja-prasowa_XX062017_fin_draft (2)_Pekao.docx</vt:lpwstr>
  </property>
</Properties>
</file>